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B1" w:rsidRDefault="00312CB1" w:rsidP="007A02D3">
      <w:pPr>
        <w:pStyle w:val="MessageHeader"/>
        <w:spacing w:after="0"/>
        <w:ind w:left="0" w:firstLine="0"/>
        <w:jc w:val="center"/>
      </w:pPr>
      <w:r>
        <w:t xml:space="preserve"> </w:t>
      </w:r>
      <w:r w:rsidR="003D5CF8">
        <w:rPr>
          <w:noProof/>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312CB1" w:rsidRDefault="00312CB1">
      <w:pPr>
        <w:pStyle w:val="MessageHeader"/>
        <w:spacing w:after="0"/>
        <w:jc w:val="center"/>
        <w:rPr>
          <w:rFonts w:ascii="Gill Sans MT" w:hAnsi="Gill Sans MT"/>
          <w:spacing w:val="0"/>
          <w:position w:val="-12"/>
          <w:sz w:val="28"/>
          <w:szCs w:val="28"/>
        </w:rPr>
      </w:pPr>
      <w:r>
        <w:rPr>
          <w:rFonts w:ascii="Gill Sans MT" w:hAnsi="Gill Sans MT"/>
          <w:spacing w:val="12"/>
          <w:position w:val="-12"/>
          <w:sz w:val="36"/>
          <w:szCs w:val="36"/>
        </w:rPr>
        <w:t>C</w:t>
      </w:r>
      <w:r>
        <w:rPr>
          <w:rFonts w:ascii="Gill Sans MT" w:hAnsi="Gill Sans MT"/>
          <w:spacing w:val="12"/>
          <w:position w:val="-12"/>
          <w:sz w:val="28"/>
          <w:szCs w:val="28"/>
        </w:rPr>
        <w:t xml:space="preserve">alifornia </w:t>
      </w:r>
      <w:r>
        <w:rPr>
          <w:rFonts w:ascii="Gill Sans MT" w:hAnsi="Gill Sans MT"/>
          <w:spacing w:val="12"/>
          <w:position w:val="-12"/>
          <w:sz w:val="36"/>
          <w:szCs w:val="36"/>
        </w:rPr>
        <w:t>W</w:t>
      </w:r>
      <w:r>
        <w:rPr>
          <w:rFonts w:ascii="Gill Sans MT" w:hAnsi="Gill Sans MT"/>
          <w:spacing w:val="12"/>
          <w:position w:val="-12"/>
          <w:sz w:val="28"/>
          <w:szCs w:val="28"/>
        </w:rPr>
        <w:t xml:space="preserve">orkers’ </w:t>
      </w:r>
      <w:r>
        <w:rPr>
          <w:rFonts w:ascii="Gill Sans MT" w:hAnsi="Gill Sans MT"/>
          <w:spacing w:val="12"/>
          <w:position w:val="-12"/>
          <w:sz w:val="36"/>
          <w:szCs w:val="36"/>
        </w:rPr>
        <w:t>C</w:t>
      </w:r>
      <w:r>
        <w:rPr>
          <w:rFonts w:ascii="Gill Sans MT" w:hAnsi="Gill Sans MT"/>
          <w:spacing w:val="12"/>
          <w:position w:val="-12"/>
          <w:sz w:val="28"/>
          <w:szCs w:val="28"/>
        </w:rPr>
        <w:t xml:space="preserve">ompensation </w:t>
      </w:r>
      <w:r>
        <w:rPr>
          <w:rFonts w:ascii="Gill Sans MT" w:hAnsi="Gill Sans MT"/>
          <w:spacing w:val="12"/>
          <w:position w:val="-12"/>
          <w:sz w:val="36"/>
          <w:szCs w:val="36"/>
        </w:rPr>
        <w:t>I</w:t>
      </w:r>
      <w:r>
        <w:rPr>
          <w:rFonts w:ascii="Gill Sans MT" w:hAnsi="Gill Sans MT"/>
          <w:spacing w:val="12"/>
          <w:position w:val="-12"/>
          <w:sz w:val="28"/>
          <w:szCs w:val="28"/>
        </w:rPr>
        <w:t>nstitute</w:t>
      </w:r>
    </w:p>
    <w:p w:rsidR="00312CB1" w:rsidRDefault="00312CB1">
      <w:pPr>
        <w:jc w:val="center"/>
        <w:rPr>
          <w:rFonts w:ascii="Gill Sans MT" w:hAnsi="Gill Sans MT"/>
          <w:sz w:val="20"/>
        </w:rPr>
      </w:pPr>
      <w:r>
        <w:rPr>
          <w:rFonts w:ascii="Gill Sans MT" w:hAnsi="Gill Sans MT"/>
          <w:sz w:val="20"/>
        </w:rPr>
        <w:t>1111 Broadway Suite 2350, Oakland, CA 94607 • Tel: (510) 251-9470 • Fax: (510) 251-9485</w:t>
      </w:r>
    </w:p>
    <w:p w:rsidR="00312CB1" w:rsidRDefault="00312CB1">
      <w:pPr>
        <w:pStyle w:val="MessageHeader"/>
        <w:ind w:left="0" w:firstLine="0"/>
        <w:jc w:val="center"/>
        <w:rPr>
          <w:spacing w:val="0"/>
          <w:sz w:val="18"/>
        </w:rPr>
      </w:pPr>
    </w:p>
    <w:p w:rsidR="00312CB1" w:rsidRDefault="00FD4836" w:rsidP="007A02D3">
      <w:pPr>
        <w:pStyle w:val="MessageHeader"/>
        <w:rPr>
          <w:rStyle w:val="MessageHeaderLabel"/>
          <w:rFonts w:ascii="Arial" w:hAnsi="Arial" w:cs="Arial"/>
          <w:spacing w:val="0"/>
          <w:sz w:val="22"/>
          <w:szCs w:val="22"/>
        </w:rPr>
      </w:pPr>
      <w:r>
        <w:rPr>
          <w:rStyle w:val="MessageHeaderLabel"/>
          <w:rFonts w:ascii="Arial" w:hAnsi="Arial" w:cs="Arial"/>
          <w:spacing w:val="0"/>
          <w:sz w:val="22"/>
          <w:szCs w:val="22"/>
        </w:rPr>
        <w:t>Decem</w:t>
      </w:r>
      <w:r w:rsidR="005C0707">
        <w:rPr>
          <w:rStyle w:val="MessageHeaderLabel"/>
          <w:rFonts w:ascii="Arial" w:hAnsi="Arial" w:cs="Arial"/>
          <w:spacing w:val="0"/>
          <w:sz w:val="22"/>
          <w:szCs w:val="22"/>
        </w:rPr>
        <w:t xml:space="preserve">ber </w:t>
      </w:r>
      <w:r>
        <w:rPr>
          <w:rStyle w:val="MessageHeaderLabel"/>
          <w:rFonts w:ascii="Arial" w:hAnsi="Arial" w:cs="Arial"/>
          <w:spacing w:val="0"/>
          <w:sz w:val="22"/>
          <w:szCs w:val="22"/>
        </w:rPr>
        <w:t>2</w:t>
      </w:r>
      <w:r w:rsidR="002B22FC">
        <w:rPr>
          <w:rStyle w:val="MessageHeaderLabel"/>
          <w:rFonts w:ascii="Arial" w:hAnsi="Arial" w:cs="Arial"/>
          <w:spacing w:val="0"/>
          <w:sz w:val="22"/>
          <w:szCs w:val="22"/>
        </w:rPr>
        <w:t>0</w:t>
      </w:r>
      <w:r w:rsidR="00312CB1">
        <w:rPr>
          <w:rStyle w:val="MessageHeaderLabel"/>
          <w:rFonts w:ascii="Arial" w:hAnsi="Arial" w:cs="Arial"/>
          <w:spacing w:val="0"/>
          <w:sz w:val="22"/>
          <w:szCs w:val="22"/>
        </w:rPr>
        <w:t>, 201</w:t>
      </w:r>
      <w:r w:rsidR="00CE7DDE">
        <w:rPr>
          <w:rStyle w:val="MessageHeaderLabel"/>
          <w:rFonts w:ascii="Arial" w:hAnsi="Arial" w:cs="Arial"/>
          <w:spacing w:val="0"/>
          <w:sz w:val="22"/>
          <w:szCs w:val="22"/>
        </w:rPr>
        <w:t>3</w:t>
      </w:r>
    </w:p>
    <w:p w:rsidR="00312CB1" w:rsidRPr="007A02D3" w:rsidRDefault="00312CB1" w:rsidP="007A02D3">
      <w:pPr>
        <w:pStyle w:val="MessageHeader"/>
        <w:ind w:left="5040" w:firstLine="0"/>
        <w:rPr>
          <w:rStyle w:val="MessageHeaderLabel"/>
          <w:rFonts w:ascii="Arial" w:hAnsi="Arial" w:cs="Arial"/>
          <w:spacing w:val="0"/>
          <w:sz w:val="20"/>
        </w:rPr>
      </w:pPr>
      <w:r w:rsidRPr="007A02D3">
        <w:rPr>
          <w:rStyle w:val="MessageHeaderLabel"/>
          <w:rFonts w:ascii="Arial" w:hAnsi="Arial" w:cs="Arial"/>
          <w:spacing w:val="0"/>
          <w:sz w:val="20"/>
          <w:u w:val="single"/>
        </w:rPr>
        <w:t xml:space="preserve">VIA E-MAIL to </w:t>
      </w:r>
      <w:hyperlink r:id="rId10" w:history="1">
        <w:r w:rsidR="00151523" w:rsidRPr="007A02D3">
          <w:rPr>
            <w:rStyle w:val="Hyperlink"/>
            <w:rFonts w:cs="Arial"/>
            <w:sz w:val="20"/>
            <w:lang w:val="en"/>
          </w:rPr>
          <w:t>dwcrules@dir.ca.gov</w:t>
        </w:r>
      </w:hyperlink>
    </w:p>
    <w:p w:rsidR="00702C90" w:rsidRDefault="00702C90" w:rsidP="00702C90">
      <w:pPr>
        <w:pStyle w:val="BodyText3"/>
        <w:widowControl w:val="0"/>
        <w:spacing w:after="0"/>
        <w:rPr>
          <w:rFonts w:ascii="Arial" w:hAnsi="Arial" w:cs="Arial"/>
          <w:color w:val="000000"/>
          <w:sz w:val="22"/>
          <w:szCs w:val="22"/>
        </w:rPr>
      </w:pPr>
    </w:p>
    <w:p w:rsidR="00DA25FE" w:rsidRDefault="00DA25FE" w:rsidP="00702C90">
      <w:pPr>
        <w:pStyle w:val="BodyText3"/>
        <w:widowControl w:val="0"/>
        <w:spacing w:after="0"/>
        <w:rPr>
          <w:rFonts w:ascii="Arial" w:hAnsi="Arial" w:cs="Arial"/>
          <w:color w:val="000000"/>
          <w:sz w:val="22"/>
          <w:szCs w:val="22"/>
        </w:rPr>
      </w:pPr>
      <w:r w:rsidRPr="00DA25FE">
        <w:rPr>
          <w:rFonts w:ascii="Arial" w:hAnsi="Arial" w:cs="Arial"/>
          <w:color w:val="000000"/>
          <w:sz w:val="22"/>
          <w:szCs w:val="22"/>
        </w:rPr>
        <w:t>Maureen Gray, Regulations Coordinator</w:t>
      </w:r>
    </w:p>
    <w:p w:rsidR="00DA25FE" w:rsidRDefault="00DA25FE" w:rsidP="00702C90">
      <w:pPr>
        <w:pStyle w:val="BodyText3"/>
        <w:widowControl w:val="0"/>
        <w:spacing w:after="0"/>
        <w:rPr>
          <w:rFonts w:ascii="Arial" w:hAnsi="Arial" w:cs="Arial"/>
          <w:color w:val="000000"/>
          <w:sz w:val="22"/>
          <w:szCs w:val="22"/>
        </w:rPr>
      </w:pPr>
      <w:r w:rsidRPr="00DA25FE">
        <w:rPr>
          <w:rFonts w:ascii="Arial" w:hAnsi="Arial" w:cs="Arial"/>
          <w:color w:val="000000"/>
          <w:sz w:val="22"/>
          <w:szCs w:val="22"/>
        </w:rPr>
        <w:t>Department of Industrial Relations</w:t>
      </w:r>
    </w:p>
    <w:p w:rsidR="00DA25FE" w:rsidRDefault="00DA25FE" w:rsidP="00702C90">
      <w:pPr>
        <w:pStyle w:val="BodyText3"/>
        <w:widowControl w:val="0"/>
        <w:spacing w:after="0"/>
        <w:rPr>
          <w:rFonts w:ascii="Arial" w:hAnsi="Arial" w:cs="Arial"/>
          <w:color w:val="000000"/>
          <w:sz w:val="22"/>
          <w:szCs w:val="22"/>
        </w:rPr>
      </w:pPr>
      <w:r w:rsidRPr="00DA25FE">
        <w:rPr>
          <w:rFonts w:ascii="Arial" w:hAnsi="Arial" w:cs="Arial"/>
          <w:color w:val="000000"/>
          <w:sz w:val="22"/>
          <w:szCs w:val="22"/>
        </w:rPr>
        <w:t>Division of Workers’ Compensation</w:t>
      </w:r>
    </w:p>
    <w:p w:rsidR="00DA25FE" w:rsidRDefault="00DA25FE" w:rsidP="00702C90">
      <w:pPr>
        <w:pStyle w:val="BodyText3"/>
        <w:widowControl w:val="0"/>
        <w:spacing w:after="0"/>
        <w:rPr>
          <w:rFonts w:ascii="Arial" w:hAnsi="Arial" w:cs="Arial"/>
          <w:color w:val="000000"/>
          <w:sz w:val="22"/>
          <w:szCs w:val="22"/>
        </w:rPr>
      </w:pPr>
      <w:r w:rsidRPr="00DA25FE">
        <w:rPr>
          <w:rFonts w:ascii="Arial" w:hAnsi="Arial" w:cs="Arial"/>
          <w:color w:val="000000"/>
          <w:sz w:val="22"/>
          <w:szCs w:val="22"/>
        </w:rPr>
        <w:t>Post Office Box 420603</w:t>
      </w:r>
    </w:p>
    <w:p w:rsidR="00DA25FE" w:rsidRPr="00DA25FE" w:rsidRDefault="00DA25FE" w:rsidP="00702C90">
      <w:pPr>
        <w:pStyle w:val="BodyText3"/>
        <w:widowControl w:val="0"/>
        <w:spacing w:after="0"/>
        <w:rPr>
          <w:rFonts w:ascii="Arial" w:hAnsi="Arial" w:cs="Arial"/>
          <w:color w:val="000000"/>
          <w:sz w:val="22"/>
          <w:szCs w:val="22"/>
        </w:rPr>
      </w:pPr>
      <w:r w:rsidRPr="00DA25FE">
        <w:rPr>
          <w:rFonts w:ascii="Arial" w:hAnsi="Arial" w:cs="Arial"/>
          <w:sz w:val="22"/>
          <w:szCs w:val="22"/>
        </w:rPr>
        <w:t>San Francisco, CA  94142</w:t>
      </w:r>
    </w:p>
    <w:p w:rsidR="00312CB1" w:rsidRPr="00DA25FE" w:rsidRDefault="00DA25FE" w:rsidP="00DA25FE">
      <w:pPr>
        <w:pStyle w:val="MessageHeader"/>
        <w:spacing w:after="0" w:line="240" w:lineRule="auto"/>
      </w:pPr>
      <w:r w:rsidRPr="00DA25FE">
        <w:rPr>
          <w:rFonts w:cs="Arial"/>
          <w:spacing w:val="0"/>
          <w:sz w:val="22"/>
          <w:szCs w:val="22"/>
        </w:rPr>
        <w:tab/>
      </w:r>
      <w:r w:rsidRPr="00DA25FE">
        <w:rPr>
          <w:rFonts w:cs="Arial"/>
          <w:spacing w:val="0"/>
          <w:sz w:val="22"/>
          <w:szCs w:val="22"/>
        </w:rPr>
        <w:tab/>
      </w:r>
      <w:r w:rsidRPr="00DA25FE">
        <w:rPr>
          <w:rFonts w:cs="Arial"/>
          <w:spacing w:val="0"/>
          <w:sz w:val="22"/>
          <w:szCs w:val="22"/>
        </w:rPr>
        <w:tab/>
      </w:r>
    </w:p>
    <w:p w:rsidR="003D5CF8" w:rsidRDefault="003D5CF8">
      <w:pPr>
        <w:pStyle w:val="MessageHeader"/>
        <w:spacing w:after="0" w:line="240" w:lineRule="auto"/>
        <w:rPr>
          <w:rStyle w:val="MessageHeaderLabel"/>
          <w:rFonts w:ascii="Arial" w:hAnsi="Arial" w:cs="Arial"/>
          <w:spacing w:val="0"/>
          <w:sz w:val="22"/>
          <w:szCs w:val="22"/>
        </w:rPr>
      </w:pPr>
    </w:p>
    <w:p w:rsidR="00312CB1" w:rsidRPr="00120539" w:rsidRDefault="00312CB1" w:rsidP="00AA73F1">
      <w:pPr>
        <w:pStyle w:val="MessageHeader"/>
        <w:spacing w:after="0" w:line="240" w:lineRule="auto"/>
        <w:ind w:left="0" w:right="-270" w:firstLine="0"/>
        <w:rPr>
          <w:rStyle w:val="MessageHeaderLabel"/>
          <w:rFonts w:ascii="Arial" w:hAnsi="Arial" w:cs="Arial"/>
          <w:b/>
          <w:spacing w:val="0"/>
          <w:sz w:val="22"/>
          <w:szCs w:val="22"/>
        </w:rPr>
      </w:pPr>
      <w:r w:rsidRPr="00120539">
        <w:rPr>
          <w:rStyle w:val="MessageHeaderLabel"/>
          <w:rFonts w:ascii="Arial" w:hAnsi="Arial" w:cs="Arial"/>
          <w:b/>
          <w:spacing w:val="0"/>
          <w:sz w:val="22"/>
          <w:szCs w:val="22"/>
        </w:rPr>
        <w:t xml:space="preserve">RE:  </w:t>
      </w:r>
      <w:r w:rsidR="00FD4836">
        <w:rPr>
          <w:rStyle w:val="MessageHeaderLabel"/>
          <w:rFonts w:ascii="Arial" w:hAnsi="Arial" w:cs="Arial"/>
          <w:b/>
          <w:spacing w:val="0"/>
          <w:sz w:val="22"/>
          <w:szCs w:val="22"/>
        </w:rPr>
        <w:t>2</w:t>
      </w:r>
      <w:r w:rsidR="00FD4836" w:rsidRPr="00FD4836">
        <w:rPr>
          <w:rStyle w:val="MessageHeaderLabel"/>
          <w:rFonts w:ascii="Arial" w:hAnsi="Arial" w:cs="Arial"/>
          <w:b/>
          <w:spacing w:val="0"/>
          <w:sz w:val="22"/>
          <w:szCs w:val="22"/>
          <w:vertAlign w:val="superscript"/>
        </w:rPr>
        <w:t>nd</w:t>
      </w:r>
      <w:r w:rsidR="00FD4836">
        <w:rPr>
          <w:rStyle w:val="MessageHeaderLabel"/>
          <w:rFonts w:ascii="Arial" w:hAnsi="Arial" w:cs="Arial"/>
          <w:b/>
          <w:spacing w:val="0"/>
          <w:sz w:val="22"/>
          <w:szCs w:val="22"/>
        </w:rPr>
        <w:t xml:space="preserve"> </w:t>
      </w:r>
      <w:r w:rsidR="005C0707">
        <w:rPr>
          <w:rStyle w:val="MessageHeaderLabel"/>
          <w:rFonts w:ascii="Arial" w:hAnsi="Arial" w:cs="Arial"/>
          <w:b/>
          <w:spacing w:val="0"/>
          <w:sz w:val="22"/>
          <w:szCs w:val="22"/>
        </w:rPr>
        <w:t>15-Day Comments</w:t>
      </w:r>
      <w:r w:rsidR="00CE7DDE">
        <w:rPr>
          <w:rStyle w:val="MessageHeaderLabel"/>
          <w:rFonts w:ascii="Arial" w:hAnsi="Arial" w:cs="Arial"/>
          <w:b/>
          <w:spacing w:val="0"/>
          <w:sz w:val="22"/>
          <w:szCs w:val="22"/>
        </w:rPr>
        <w:t xml:space="preserve"> on </w:t>
      </w:r>
      <w:r w:rsidR="005C0707">
        <w:rPr>
          <w:rStyle w:val="MessageHeaderLabel"/>
          <w:rFonts w:ascii="Arial" w:hAnsi="Arial" w:cs="Arial"/>
          <w:b/>
          <w:spacing w:val="0"/>
          <w:sz w:val="22"/>
          <w:szCs w:val="22"/>
        </w:rPr>
        <w:t xml:space="preserve">Modifications to </w:t>
      </w:r>
      <w:r w:rsidR="00CE7DDE">
        <w:rPr>
          <w:rStyle w:val="MessageHeaderLabel"/>
          <w:rFonts w:ascii="Arial" w:hAnsi="Arial" w:cs="Arial"/>
          <w:b/>
          <w:spacing w:val="0"/>
          <w:sz w:val="22"/>
          <w:szCs w:val="22"/>
        </w:rPr>
        <w:t>Proposed</w:t>
      </w:r>
      <w:r w:rsidR="009B4ECF">
        <w:rPr>
          <w:rStyle w:val="MessageHeaderLabel"/>
          <w:rFonts w:ascii="Arial" w:hAnsi="Arial" w:cs="Arial"/>
          <w:b/>
          <w:spacing w:val="0"/>
          <w:sz w:val="22"/>
          <w:szCs w:val="22"/>
        </w:rPr>
        <w:t xml:space="preserve"> </w:t>
      </w:r>
      <w:r w:rsidR="003E355E">
        <w:rPr>
          <w:rStyle w:val="MessageHeaderLabel"/>
          <w:rFonts w:ascii="Arial" w:hAnsi="Arial" w:cs="Arial"/>
          <w:b/>
          <w:spacing w:val="0"/>
          <w:sz w:val="22"/>
          <w:szCs w:val="22"/>
        </w:rPr>
        <w:t xml:space="preserve">Permanent </w:t>
      </w:r>
      <w:r w:rsidR="009B4ECF">
        <w:rPr>
          <w:rStyle w:val="MessageHeaderLabel"/>
          <w:rFonts w:ascii="Arial" w:hAnsi="Arial" w:cs="Arial"/>
          <w:b/>
          <w:spacing w:val="0"/>
          <w:sz w:val="22"/>
          <w:szCs w:val="22"/>
        </w:rPr>
        <w:t>Independent Medical Review</w:t>
      </w:r>
      <w:r w:rsidR="005C0707">
        <w:rPr>
          <w:rStyle w:val="MessageHeaderLabel"/>
          <w:rFonts w:ascii="Arial" w:hAnsi="Arial" w:cs="Arial"/>
          <w:b/>
          <w:spacing w:val="0"/>
          <w:sz w:val="22"/>
          <w:szCs w:val="22"/>
        </w:rPr>
        <w:t xml:space="preserve"> (IMR)</w:t>
      </w:r>
      <w:r w:rsidR="009B4ECF">
        <w:rPr>
          <w:rStyle w:val="MessageHeaderLabel"/>
          <w:rFonts w:ascii="Arial" w:hAnsi="Arial" w:cs="Arial"/>
          <w:b/>
          <w:spacing w:val="0"/>
          <w:sz w:val="22"/>
          <w:szCs w:val="22"/>
        </w:rPr>
        <w:t xml:space="preserve"> Regulations</w:t>
      </w:r>
      <w:r w:rsidR="00CE7DDE">
        <w:rPr>
          <w:rStyle w:val="MessageHeaderLabel"/>
          <w:rFonts w:ascii="Arial" w:hAnsi="Arial" w:cs="Arial"/>
          <w:b/>
          <w:spacing w:val="0"/>
          <w:sz w:val="22"/>
          <w:szCs w:val="22"/>
        </w:rPr>
        <w:t xml:space="preserve"> Sections</w:t>
      </w:r>
      <w:r w:rsidR="00120539" w:rsidRPr="00120539">
        <w:rPr>
          <w:rStyle w:val="MessageHeaderLabel"/>
          <w:rFonts w:ascii="Arial" w:hAnsi="Arial" w:cs="Arial"/>
          <w:b/>
          <w:spacing w:val="0"/>
          <w:sz w:val="22"/>
          <w:szCs w:val="22"/>
        </w:rPr>
        <w:t xml:space="preserve"> </w:t>
      </w:r>
      <w:r w:rsidR="00A4211B">
        <w:rPr>
          <w:rStyle w:val="MessageHeaderLabel"/>
          <w:rFonts w:ascii="Arial" w:hAnsi="Arial" w:cs="Arial"/>
          <w:b/>
          <w:spacing w:val="0"/>
          <w:sz w:val="22"/>
          <w:szCs w:val="22"/>
        </w:rPr>
        <w:t>9785, 9785.5, and 9792.6.1 – 9792.12</w:t>
      </w:r>
    </w:p>
    <w:p w:rsidR="00495F28" w:rsidRDefault="00495F28" w:rsidP="00495F28">
      <w:pPr>
        <w:rPr>
          <w:rFonts w:ascii="Arial" w:hAnsi="Arial" w:cs="Arial"/>
          <w:color w:val="auto"/>
          <w:sz w:val="22"/>
          <w:szCs w:val="22"/>
          <w:lang w:val="en"/>
        </w:rPr>
      </w:pPr>
    </w:p>
    <w:p w:rsidR="00214C9C" w:rsidRDefault="00214C9C" w:rsidP="00495F28">
      <w:pPr>
        <w:rPr>
          <w:rFonts w:ascii="Arial" w:hAnsi="Arial" w:cs="Arial"/>
          <w:color w:val="auto"/>
          <w:sz w:val="22"/>
          <w:szCs w:val="22"/>
          <w:lang w:val="en"/>
        </w:rPr>
      </w:pPr>
    </w:p>
    <w:p w:rsidR="00495F28" w:rsidRPr="00140C35" w:rsidRDefault="00495F28" w:rsidP="00495F28">
      <w:pPr>
        <w:rPr>
          <w:rFonts w:ascii="Arial" w:hAnsi="Arial" w:cs="Arial"/>
          <w:sz w:val="22"/>
          <w:szCs w:val="22"/>
        </w:rPr>
      </w:pPr>
      <w:r w:rsidRPr="00140C35">
        <w:rPr>
          <w:rFonts w:ascii="Arial" w:hAnsi="Arial" w:cs="Arial"/>
          <w:sz w:val="22"/>
          <w:szCs w:val="22"/>
        </w:rPr>
        <w:t>Dear Ms. Gray:</w:t>
      </w:r>
    </w:p>
    <w:p w:rsidR="00495F28" w:rsidRPr="00140C35" w:rsidRDefault="00495F28" w:rsidP="00495F28">
      <w:pPr>
        <w:rPr>
          <w:rFonts w:ascii="Arial" w:hAnsi="Arial" w:cs="Arial"/>
          <w:sz w:val="22"/>
          <w:szCs w:val="22"/>
        </w:rPr>
      </w:pPr>
    </w:p>
    <w:p w:rsidR="00140C35" w:rsidRPr="00140C35" w:rsidRDefault="00312CB1" w:rsidP="00140C35">
      <w:pPr>
        <w:keepLines/>
        <w:tabs>
          <w:tab w:val="left" w:pos="900"/>
        </w:tabs>
        <w:rPr>
          <w:rFonts w:ascii="Arial" w:hAnsi="Arial" w:cs="Arial"/>
          <w:sz w:val="22"/>
          <w:szCs w:val="22"/>
        </w:rPr>
      </w:pPr>
      <w:r w:rsidRPr="00140C35">
        <w:rPr>
          <w:rFonts w:ascii="Arial" w:hAnsi="Arial" w:cs="Arial"/>
          <w:sz w:val="22"/>
          <w:szCs w:val="22"/>
        </w:rPr>
        <w:t>Th</w:t>
      </w:r>
      <w:r w:rsidR="005C0707" w:rsidRPr="00140C35">
        <w:rPr>
          <w:rFonts w:ascii="Arial" w:hAnsi="Arial" w:cs="Arial"/>
          <w:sz w:val="22"/>
          <w:szCs w:val="22"/>
        </w:rPr>
        <w:t>ese</w:t>
      </w:r>
      <w:r w:rsidRPr="00140C35">
        <w:rPr>
          <w:rFonts w:ascii="Arial" w:hAnsi="Arial" w:cs="Arial"/>
          <w:sz w:val="22"/>
          <w:szCs w:val="22"/>
        </w:rPr>
        <w:t xml:space="preserve"> </w:t>
      </w:r>
      <w:r w:rsidR="005C0707" w:rsidRPr="00140C35">
        <w:rPr>
          <w:rFonts w:ascii="Arial" w:hAnsi="Arial" w:cs="Arial"/>
          <w:sz w:val="22"/>
          <w:szCs w:val="22"/>
        </w:rPr>
        <w:t>comments</w:t>
      </w:r>
      <w:r w:rsidRPr="00140C35">
        <w:rPr>
          <w:rFonts w:ascii="Arial" w:hAnsi="Arial" w:cs="Arial"/>
          <w:sz w:val="22"/>
          <w:szCs w:val="22"/>
        </w:rPr>
        <w:t xml:space="preserve"> on </w:t>
      </w:r>
      <w:r w:rsidR="000B0464">
        <w:rPr>
          <w:rFonts w:ascii="Arial" w:hAnsi="Arial" w:cs="Arial"/>
          <w:sz w:val="22"/>
          <w:szCs w:val="22"/>
        </w:rPr>
        <w:t xml:space="preserve">additional </w:t>
      </w:r>
      <w:r w:rsidR="005C0707" w:rsidRPr="00140C35">
        <w:rPr>
          <w:rFonts w:ascii="Arial" w:hAnsi="Arial" w:cs="Arial"/>
          <w:sz w:val="22"/>
          <w:szCs w:val="22"/>
        </w:rPr>
        <w:t xml:space="preserve">modifications to the </w:t>
      </w:r>
      <w:r w:rsidR="009B4ECF" w:rsidRPr="00140C35">
        <w:rPr>
          <w:rFonts w:ascii="Arial" w:hAnsi="Arial" w:cs="Arial"/>
          <w:sz w:val="22"/>
          <w:szCs w:val="22"/>
        </w:rPr>
        <w:t>regulations</w:t>
      </w:r>
      <w:r w:rsidR="00D87558" w:rsidRPr="00140C35">
        <w:rPr>
          <w:rFonts w:ascii="Arial" w:hAnsi="Arial" w:cs="Arial"/>
          <w:sz w:val="22"/>
          <w:szCs w:val="22"/>
        </w:rPr>
        <w:t xml:space="preserve"> </w:t>
      </w:r>
      <w:r w:rsidR="005A7DA8" w:rsidRPr="00140C35">
        <w:rPr>
          <w:rFonts w:ascii="Arial" w:hAnsi="Arial" w:cs="Arial"/>
          <w:sz w:val="22"/>
          <w:szCs w:val="22"/>
        </w:rPr>
        <w:t>proposed for permanent adoption to</w:t>
      </w:r>
      <w:r w:rsidR="00D87558" w:rsidRPr="00140C35">
        <w:rPr>
          <w:rFonts w:ascii="Arial" w:hAnsi="Arial" w:cs="Arial"/>
          <w:sz w:val="22"/>
          <w:szCs w:val="22"/>
        </w:rPr>
        <w:t xml:space="preserve"> implement Senate Bill 863 provisions regarding</w:t>
      </w:r>
      <w:r w:rsidR="009B4ECF" w:rsidRPr="00140C35">
        <w:rPr>
          <w:rFonts w:ascii="Arial" w:hAnsi="Arial" w:cs="Arial"/>
          <w:sz w:val="22"/>
          <w:szCs w:val="22"/>
        </w:rPr>
        <w:t xml:space="preserve"> Independent Medical Review (IMR) and </w:t>
      </w:r>
      <w:r w:rsidR="000B0464">
        <w:rPr>
          <w:rFonts w:ascii="Arial" w:hAnsi="Arial" w:cs="Arial"/>
          <w:sz w:val="22"/>
          <w:szCs w:val="22"/>
        </w:rPr>
        <w:t>U</w:t>
      </w:r>
      <w:r w:rsidR="009B4ECF" w:rsidRPr="00140C35">
        <w:rPr>
          <w:rFonts w:ascii="Arial" w:hAnsi="Arial" w:cs="Arial"/>
          <w:sz w:val="22"/>
          <w:szCs w:val="22"/>
        </w:rPr>
        <w:t>tilization</w:t>
      </w:r>
      <w:r w:rsidR="000B0464">
        <w:rPr>
          <w:rFonts w:ascii="Arial" w:hAnsi="Arial" w:cs="Arial"/>
          <w:sz w:val="22"/>
          <w:szCs w:val="22"/>
        </w:rPr>
        <w:t xml:space="preserve"> R</w:t>
      </w:r>
      <w:r w:rsidR="00D87558" w:rsidRPr="00140C35">
        <w:rPr>
          <w:rFonts w:ascii="Arial" w:hAnsi="Arial" w:cs="Arial"/>
          <w:sz w:val="22"/>
          <w:szCs w:val="22"/>
        </w:rPr>
        <w:t>eview</w:t>
      </w:r>
      <w:r w:rsidR="000B0464">
        <w:rPr>
          <w:rFonts w:ascii="Arial" w:hAnsi="Arial" w:cs="Arial"/>
          <w:sz w:val="22"/>
          <w:szCs w:val="22"/>
        </w:rPr>
        <w:t xml:space="preserve"> (UR)</w:t>
      </w:r>
      <w:r w:rsidR="00D87558" w:rsidRPr="00140C35">
        <w:rPr>
          <w:rFonts w:ascii="Arial" w:hAnsi="Arial" w:cs="Arial"/>
          <w:sz w:val="22"/>
          <w:szCs w:val="22"/>
        </w:rPr>
        <w:t xml:space="preserve"> </w:t>
      </w:r>
      <w:r w:rsidR="00D10A82" w:rsidRPr="00140C35">
        <w:rPr>
          <w:rFonts w:ascii="Arial" w:hAnsi="Arial" w:cs="Arial"/>
          <w:sz w:val="22"/>
          <w:szCs w:val="22"/>
        </w:rPr>
        <w:t>are</w:t>
      </w:r>
      <w:r w:rsidRPr="00140C35">
        <w:rPr>
          <w:rFonts w:ascii="Arial" w:hAnsi="Arial" w:cs="Arial"/>
          <w:sz w:val="22"/>
          <w:szCs w:val="22"/>
        </w:rPr>
        <w:t xml:space="preserve"> presented on behalf of members of the California Workers' Compensation Institute (the Institute).  </w:t>
      </w:r>
      <w:r w:rsidR="00140C35" w:rsidRPr="00140C35">
        <w:rPr>
          <w:rFonts w:ascii="Arial" w:hAnsi="Arial" w:cs="Arial"/>
          <w:sz w:val="22"/>
          <w:szCs w:val="22"/>
        </w:rPr>
        <w:t>Institute members include insurers writing 7</w:t>
      </w:r>
      <w:r w:rsidR="00DA25FE">
        <w:rPr>
          <w:rFonts w:ascii="Arial" w:hAnsi="Arial" w:cs="Arial"/>
          <w:sz w:val="22"/>
          <w:szCs w:val="22"/>
        </w:rPr>
        <w:t>1</w:t>
      </w:r>
      <w:r w:rsidR="00140C35" w:rsidRPr="00140C35">
        <w:rPr>
          <w:rFonts w:ascii="Arial" w:hAnsi="Arial" w:cs="Arial"/>
          <w:sz w:val="22"/>
          <w:szCs w:val="22"/>
        </w:rPr>
        <w:t>% of California’s workers’ compensation premium, and self-insured employers with $4</w:t>
      </w:r>
      <w:r w:rsidR="005E30D8">
        <w:rPr>
          <w:rFonts w:ascii="Arial" w:hAnsi="Arial" w:cs="Arial"/>
          <w:sz w:val="22"/>
          <w:szCs w:val="22"/>
        </w:rPr>
        <w:t>6</w:t>
      </w:r>
      <w:r w:rsidR="00140C35" w:rsidRPr="00140C35">
        <w:rPr>
          <w:rFonts w:ascii="Arial" w:hAnsi="Arial" w:cs="Arial"/>
          <w:sz w:val="22"/>
          <w:szCs w:val="22"/>
        </w:rPr>
        <w:t>B of annual payroll (2</w:t>
      </w:r>
      <w:r w:rsidR="008B0360">
        <w:rPr>
          <w:rFonts w:ascii="Arial" w:hAnsi="Arial" w:cs="Arial"/>
          <w:sz w:val="22"/>
          <w:szCs w:val="22"/>
        </w:rPr>
        <w:t>7</w:t>
      </w:r>
      <w:r w:rsidR="00140C35" w:rsidRPr="00140C35">
        <w:rPr>
          <w:rFonts w:ascii="Arial" w:hAnsi="Arial" w:cs="Arial"/>
          <w:sz w:val="22"/>
          <w:szCs w:val="22"/>
        </w:rPr>
        <w:t xml:space="preserve">% of the state’s total annual self-insured payroll).  </w:t>
      </w:r>
    </w:p>
    <w:p w:rsidR="00140C35" w:rsidRPr="00140C35" w:rsidRDefault="00140C35" w:rsidP="00140C35">
      <w:pPr>
        <w:keepLines/>
        <w:tabs>
          <w:tab w:val="left" w:pos="900"/>
        </w:tabs>
        <w:rPr>
          <w:rFonts w:ascii="Arial" w:hAnsi="Arial" w:cs="Arial"/>
          <w:sz w:val="22"/>
          <w:szCs w:val="22"/>
        </w:rPr>
      </w:pPr>
    </w:p>
    <w:p w:rsidR="00140C35" w:rsidRPr="00140C35" w:rsidRDefault="00140C35" w:rsidP="00140C35">
      <w:pPr>
        <w:shd w:val="clear" w:color="auto" w:fill="FFFFFF"/>
        <w:rPr>
          <w:rFonts w:ascii="Arial" w:hAnsi="Arial" w:cs="Arial"/>
          <w:sz w:val="22"/>
          <w:szCs w:val="22"/>
        </w:rPr>
      </w:pPr>
      <w:r w:rsidRPr="00140C35">
        <w:rPr>
          <w:rFonts w:ascii="Arial" w:hAnsi="Arial" w:cs="Arial"/>
          <w:sz w:val="22"/>
          <w:szCs w:val="22"/>
        </w:rPr>
        <w:t>Insurer members of the Institute include ACE, AIG, Alaska National Insurance Company,  AmTrust North America, Chubb Group, CNA, CompWest Insurance Company, Crum &amp; Forster, Employers</w:t>
      </w:r>
      <w:r w:rsidR="00702C90">
        <w:rPr>
          <w:rFonts w:ascii="Arial" w:hAnsi="Arial" w:cs="Arial"/>
          <w:sz w:val="22"/>
          <w:szCs w:val="22"/>
        </w:rPr>
        <w:t xml:space="preserve"> Compensation Insurance Company</w:t>
      </w:r>
      <w:r w:rsidRPr="00140C35">
        <w:rPr>
          <w:rFonts w:ascii="Arial" w:hAnsi="Arial" w:cs="Arial"/>
          <w:sz w:val="22"/>
          <w:szCs w:val="22"/>
        </w:rPr>
        <w:t xml:space="preserve">, Everest National Insurance Company, Farmers Insurance Group, Fireman's Fund Insurance Company, </w:t>
      </w:r>
      <w:r w:rsidR="00702C90">
        <w:rPr>
          <w:rFonts w:ascii="Arial" w:hAnsi="Arial" w:cs="Arial"/>
          <w:sz w:val="22"/>
          <w:szCs w:val="22"/>
        </w:rPr>
        <w:t xml:space="preserve">                       </w:t>
      </w:r>
      <w:r w:rsidRPr="00140C35">
        <w:rPr>
          <w:rFonts w:ascii="Arial" w:hAnsi="Arial" w:cs="Arial"/>
          <w:sz w:val="22"/>
          <w:szCs w:val="22"/>
        </w:rPr>
        <w:t>The Hartford, I</w:t>
      </w:r>
      <w:r w:rsidR="00702C90">
        <w:rPr>
          <w:rFonts w:ascii="Arial" w:hAnsi="Arial" w:cs="Arial"/>
          <w:sz w:val="22"/>
          <w:szCs w:val="22"/>
        </w:rPr>
        <w:t xml:space="preserve">CW Group, </w:t>
      </w:r>
      <w:r w:rsidRPr="00140C35">
        <w:rPr>
          <w:rFonts w:ascii="Arial" w:hAnsi="Arial" w:cs="Arial"/>
          <w:sz w:val="22"/>
          <w:szCs w:val="22"/>
        </w:rPr>
        <w:t>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140C35" w:rsidRPr="00140C35" w:rsidRDefault="00140C35" w:rsidP="00140C35">
      <w:pPr>
        <w:shd w:val="clear" w:color="auto" w:fill="FFFFFF"/>
        <w:rPr>
          <w:rFonts w:ascii="Arial" w:hAnsi="Arial" w:cs="Arial"/>
          <w:sz w:val="22"/>
          <w:szCs w:val="22"/>
        </w:rPr>
      </w:pPr>
    </w:p>
    <w:p w:rsidR="00140C35" w:rsidRPr="00140C35" w:rsidRDefault="00140C35" w:rsidP="00140C35">
      <w:pPr>
        <w:keepLines/>
        <w:tabs>
          <w:tab w:val="left" w:pos="900"/>
        </w:tabs>
        <w:rPr>
          <w:rFonts w:ascii="Arial" w:hAnsi="Arial" w:cs="Arial"/>
          <w:sz w:val="22"/>
          <w:szCs w:val="22"/>
        </w:rPr>
      </w:pPr>
      <w:r w:rsidRPr="00140C35">
        <w:rPr>
          <w:rFonts w:ascii="Arial" w:hAnsi="Arial" w:cs="Arial"/>
          <w:sz w:val="22"/>
          <w:szCs w:val="22"/>
        </w:rPr>
        <w:t xml:space="preserve">Self-insured employer members are Adventist Health, Agilent Technologies, </w:t>
      </w:r>
      <w:r w:rsidR="007F319D">
        <w:rPr>
          <w:rFonts w:ascii="Arial" w:hAnsi="Arial" w:cs="Arial"/>
          <w:sz w:val="22"/>
          <w:szCs w:val="22"/>
        </w:rPr>
        <w:t xml:space="preserve">Chevron Corporation, </w:t>
      </w:r>
      <w:r w:rsidRPr="00140C35">
        <w:rPr>
          <w:rFonts w:ascii="Arial" w:hAnsi="Arial" w:cs="Arial"/>
          <w:sz w:val="22"/>
          <w:szCs w:val="22"/>
        </w:rPr>
        <w:t xml:space="preserve">City and County of San Francisco, City of Santa Ana, City of Torrance, Contra Costa County Schools Insurance Group, Costco Wholesale, County of </w:t>
      </w:r>
      <w:r w:rsidR="00702C90">
        <w:rPr>
          <w:rFonts w:ascii="Arial" w:hAnsi="Arial" w:cs="Arial"/>
          <w:sz w:val="22"/>
          <w:szCs w:val="22"/>
        </w:rPr>
        <w:t xml:space="preserve">                  </w:t>
      </w:r>
      <w:r w:rsidRPr="00140C35">
        <w:rPr>
          <w:rFonts w:ascii="Arial" w:hAnsi="Arial" w:cs="Arial"/>
          <w:sz w:val="22"/>
          <w:szCs w:val="22"/>
        </w:rPr>
        <w:t xml:space="preserve">San Bernardino Risk Management, County of Santa Clara Risk Management, </w:t>
      </w:r>
      <w:r w:rsidR="00702C90">
        <w:rPr>
          <w:rFonts w:ascii="Arial" w:hAnsi="Arial" w:cs="Arial"/>
          <w:sz w:val="22"/>
          <w:szCs w:val="22"/>
        </w:rPr>
        <w:t xml:space="preserve">                 </w:t>
      </w:r>
      <w:r w:rsidRPr="00140C35">
        <w:rPr>
          <w:rFonts w:ascii="Arial" w:hAnsi="Arial" w:cs="Arial"/>
          <w:sz w:val="22"/>
          <w:szCs w:val="22"/>
        </w:rPr>
        <w:t xml:space="preserve">Dignity Health, Foster Farms, Grimmway Enterprises Inc., Kaiser </w:t>
      </w:r>
      <w:r w:rsidR="002C1618">
        <w:rPr>
          <w:rFonts w:ascii="Arial" w:hAnsi="Arial" w:cs="Arial"/>
          <w:sz w:val="22"/>
          <w:szCs w:val="22"/>
        </w:rPr>
        <w:t xml:space="preserve">Permanente, </w:t>
      </w:r>
      <w:r w:rsidRPr="00140C35">
        <w:rPr>
          <w:rFonts w:ascii="Arial" w:hAnsi="Arial" w:cs="Arial"/>
          <w:sz w:val="22"/>
          <w:szCs w:val="22"/>
        </w:rPr>
        <w:t xml:space="preserve">Marriott International, Inc., Pacific Gas &amp; Electric Company, Safeway, Inc., Schools Insurance Authority, Sempra Energy, Shasta County Risk Management, Southern California Edison, Sutter Health, University of California, and The Walt Disney Company. </w:t>
      </w:r>
    </w:p>
    <w:p w:rsidR="00933829" w:rsidRPr="00933829" w:rsidRDefault="00933829" w:rsidP="00140C35">
      <w:pPr>
        <w:pStyle w:val="MessageHeader"/>
        <w:tabs>
          <w:tab w:val="left" w:pos="900"/>
        </w:tabs>
        <w:spacing w:after="0" w:line="240" w:lineRule="auto"/>
        <w:ind w:left="0" w:firstLine="0"/>
        <w:rPr>
          <w:rFonts w:cs="Arial"/>
          <w:sz w:val="16"/>
          <w:szCs w:val="16"/>
        </w:rPr>
      </w:pPr>
    </w:p>
    <w:p w:rsidR="00CE11AE" w:rsidRDefault="00CE11AE" w:rsidP="004C594A">
      <w:pPr>
        <w:pStyle w:val="MessageHeader"/>
        <w:tabs>
          <w:tab w:val="left" w:pos="900"/>
        </w:tabs>
        <w:spacing w:after="0" w:line="240" w:lineRule="auto"/>
        <w:ind w:left="0" w:firstLine="0"/>
        <w:rPr>
          <w:rFonts w:cs="Arial"/>
          <w:sz w:val="22"/>
          <w:szCs w:val="22"/>
        </w:rPr>
      </w:pPr>
    </w:p>
    <w:p w:rsidR="00140C35" w:rsidRDefault="00140C35" w:rsidP="004C594A">
      <w:pPr>
        <w:pStyle w:val="MessageHeader"/>
        <w:tabs>
          <w:tab w:val="left" w:pos="900"/>
        </w:tabs>
        <w:spacing w:after="0" w:line="240" w:lineRule="auto"/>
        <w:ind w:left="0" w:firstLine="0"/>
        <w:rPr>
          <w:rFonts w:cs="Arial"/>
          <w:sz w:val="22"/>
          <w:szCs w:val="22"/>
        </w:rPr>
      </w:pPr>
    </w:p>
    <w:p w:rsidR="00CE11AE" w:rsidRPr="00CE11AE" w:rsidRDefault="00CE11AE" w:rsidP="00CE11AE">
      <w:pPr>
        <w:rPr>
          <w:rFonts w:ascii="Arial" w:eastAsiaTheme="minorHAnsi" w:hAnsi="Arial" w:cs="Arial"/>
          <w:b/>
          <w:color w:val="auto"/>
          <w:sz w:val="22"/>
          <w:szCs w:val="22"/>
        </w:rPr>
      </w:pPr>
      <w:r w:rsidRPr="002C62FD">
        <w:rPr>
          <w:rFonts w:ascii="Arial" w:eastAsiaTheme="minorHAnsi" w:hAnsi="Arial" w:cs="Arial"/>
          <w:b/>
          <w:color w:val="auto"/>
          <w:sz w:val="22"/>
          <w:szCs w:val="22"/>
        </w:rPr>
        <w:t>Introduction</w:t>
      </w:r>
      <w:r w:rsidRPr="00CE11AE">
        <w:rPr>
          <w:rFonts w:ascii="Arial" w:eastAsiaTheme="minorHAnsi" w:hAnsi="Arial" w:cs="Arial"/>
          <w:b/>
          <w:color w:val="auto"/>
          <w:sz w:val="22"/>
          <w:szCs w:val="22"/>
        </w:rPr>
        <w:t xml:space="preserve"> </w:t>
      </w:r>
    </w:p>
    <w:p w:rsidR="00CE11AE" w:rsidRPr="00CE11AE" w:rsidRDefault="00CE11AE" w:rsidP="00CE11AE">
      <w:pPr>
        <w:rPr>
          <w:rFonts w:ascii="Arial" w:eastAsiaTheme="minorHAnsi" w:hAnsi="Arial" w:cs="Arial"/>
          <w:color w:val="auto"/>
          <w:sz w:val="22"/>
          <w:szCs w:val="22"/>
        </w:rPr>
      </w:pPr>
    </w:p>
    <w:p w:rsidR="00EB1E87" w:rsidRDefault="00CE11AE" w:rsidP="00CE11AE">
      <w:pPr>
        <w:rPr>
          <w:rFonts w:ascii="Arial" w:eastAsiaTheme="minorHAnsi" w:hAnsi="Arial" w:cs="Arial"/>
          <w:color w:val="auto"/>
          <w:sz w:val="22"/>
          <w:szCs w:val="22"/>
          <w:lang w:val="en"/>
        </w:rPr>
      </w:pPr>
      <w:r>
        <w:rPr>
          <w:rFonts w:ascii="Arial" w:eastAsiaTheme="minorHAnsi" w:hAnsi="Arial" w:cs="Arial"/>
          <w:color w:val="auto"/>
          <w:sz w:val="22"/>
          <w:szCs w:val="22"/>
        </w:rPr>
        <w:t>T</w:t>
      </w:r>
      <w:r w:rsidRPr="00CE11AE">
        <w:rPr>
          <w:rFonts w:ascii="Arial" w:eastAsiaTheme="minorHAnsi" w:hAnsi="Arial" w:cs="Arial"/>
          <w:color w:val="auto"/>
          <w:sz w:val="22"/>
          <w:szCs w:val="22"/>
        </w:rPr>
        <w:t xml:space="preserve">he </w:t>
      </w:r>
      <w:r w:rsidR="00A41157">
        <w:rPr>
          <w:rFonts w:ascii="Arial" w:eastAsiaTheme="minorHAnsi" w:hAnsi="Arial" w:cs="Arial"/>
          <w:color w:val="auto"/>
          <w:sz w:val="22"/>
          <w:szCs w:val="22"/>
        </w:rPr>
        <w:t xml:space="preserve">California Workers’ Compensation </w:t>
      </w:r>
      <w:r w:rsidRPr="00CE11AE">
        <w:rPr>
          <w:rFonts w:ascii="Arial" w:eastAsiaTheme="minorHAnsi" w:hAnsi="Arial" w:cs="Arial"/>
          <w:color w:val="auto"/>
          <w:sz w:val="22"/>
          <w:szCs w:val="22"/>
        </w:rPr>
        <w:t xml:space="preserve">Institute supports </w:t>
      </w:r>
      <w:r w:rsidR="00140C35">
        <w:rPr>
          <w:rFonts w:ascii="Arial" w:eastAsiaTheme="minorHAnsi" w:hAnsi="Arial" w:cs="Arial"/>
          <w:color w:val="auto"/>
          <w:sz w:val="22"/>
          <w:szCs w:val="22"/>
        </w:rPr>
        <w:t>comments</w:t>
      </w:r>
      <w:r>
        <w:rPr>
          <w:rFonts w:ascii="Arial" w:eastAsiaTheme="minorHAnsi" w:hAnsi="Arial" w:cs="Arial"/>
          <w:color w:val="auto"/>
          <w:sz w:val="22"/>
          <w:szCs w:val="22"/>
        </w:rPr>
        <w:t xml:space="preserve"> </w:t>
      </w:r>
      <w:r w:rsidRPr="00CE11AE">
        <w:rPr>
          <w:rFonts w:ascii="Arial" w:eastAsiaTheme="minorHAnsi" w:hAnsi="Arial" w:cs="Arial"/>
          <w:color w:val="auto"/>
          <w:sz w:val="22"/>
          <w:szCs w:val="22"/>
          <w:lang w:val="en"/>
        </w:rPr>
        <w:t xml:space="preserve">on </w:t>
      </w:r>
      <w:r w:rsidR="00994FFC">
        <w:rPr>
          <w:rFonts w:ascii="Arial" w:eastAsiaTheme="minorHAnsi" w:hAnsi="Arial" w:cs="Arial"/>
          <w:color w:val="auto"/>
          <w:sz w:val="22"/>
          <w:szCs w:val="22"/>
          <w:lang w:val="en"/>
        </w:rPr>
        <w:t xml:space="preserve">the </w:t>
      </w:r>
      <w:r w:rsidR="00140C35">
        <w:rPr>
          <w:rFonts w:ascii="Arial" w:eastAsiaTheme="minorHAnsi" w:hAnsi="Arial" w:cs="Arial"/>
          <w:color w:val="auto"/>
          <w:sz w:val="22"/>
          <w:szCs w:val="22"/>
          <w:lang w:val="en"/>
        </w:rPr>
        <w:t xml:space="preserve">modifications to </w:t>
      </w:r>
      <w:r w:rsidRPr="00CE11AE">
        <w:rPr>
          <w:rFonts w:ascii="Arial" w:eastAsiaTheme="minorHAnsi" w:hAnsi="Arial" w:cs="Arial"/>
          <w:color w:val="auto"/>
          <w:sz w:val="22"/>
          <w:szCs w:val="22"/>
          <w:lang w:val="en"/>
        </w:rPr>
        <w:t>proposed permanent</w:t>
      </w:r>
      <w:r w:rsidR="005714E7">
        <w:rPr>
          <w:rFonts w:ascii="Arial" w:eastAsiaTheme="minorHAnsi" w:hAnsi="Arial" w:cs="Arial"/>
          <w:color w:val="auto"/>
          <w:sz w:val="22"/>
          <w:szCs w:val="22"/>
          <w:lang w:val="en"/>
        </w:rPr>
        <w:t xml:space="preserve"> Independent Medical Review (</w:t>
      </w:r>
      <w:r w:rsidR="007D5AF5">
        <w:rPr>
          <w:rFonts w:ascii="Arial" w:eastAsiaTheme="minorHAnsi" w:hAnsi="Arial" w:cs="Arial"/>
          <w:color w:val="auto"/>
          <w:sz w:val="22"/>
          <w:szCs w:val="22"/>
          <w:lang w:val="en"/>
        </w:rPr>
        <w:t>IMR</w:t>
      </w:r>
      <w:r w:rsidR="005714E7">
        <w:rPr>
          <w:rFonts w:ascii="Arial" w:eastAsiaTheme="minorHAnsi" w:hAnsi="Arial" w:cs="Arial"/>
          <w:color w:val="auto"/>
          <w:sz w:val="22"/>
          <w:szCs w:val="22"/>
          <w:lang w:val="en"/>
        </w:rPr>
        <w:t>)</w:t>
      </w:r>
      <w:r w:rsidR="007D5AF5">
        <w:rPr>
          <w:rFonts w:ascii="Arial" w:eastAsiaTheme="minorHAnsi" w:hAnsi="Arial" w:cs="Arial"/>
          <w:color w:val="auto"/>
          <w:sz w:val="22"/>
          <w:szCs w:val="22"/>
          <w:lang w:val="en"/>
        </w:rPr>
        <w:t xml:space="preserve"> </w:t>
      </w:r>
      <w:r w:rsidRPr="00CE11AE">
        <w:rPr>
          <w:rFonts w:ascii="Arial" w:eastAsiaTheme="minorHAnsi" w:hAnsi="Arial" w:cs="Arial"/>
          <w:color w:val="auto"/>
          <w:sz w:val="22"/>
          <w:szCs w:val="22"/>
          <w:lang w:val="en"/>
        </w:rPr>
        <w:t>regulations</w:t>
      </w:r>
      <w:r>
        <w:rPr>
          <w:rFonts w:ascii="Arial" w:eastAsiaTheme="minorHAnsi" w:hAnsi="Arial" w:cs="Arial"/>
          <w:color w:val="auto"/>
          <w:sz w:val="22"/>
          <w:szCs w:val="22"/>
        </w:rPr>
        <w:t xml:space="preserve"> submitted by</w:t>
      </w:r>
      <w:r w:rsidRPr="00CE11AE">
        <w:rPr>
          <w:rFonts w:ascii="Arial" w:eastAsiaTheme="minorHAnsi" w:hAnsi="Arial" w:cs="Arial"/>
          <w:color w:val="auto"/>
          <w:sz w:val="22"/>
          <w:szCs w:val="22"/>
        </w:rPr>
        <w:t xml:space="preserve"> the </w:t>
      </w:r>
      <w:r w:rsidR="004A2A3B" w:rsidRPr="00CE11AE">
        <w:rPr>
          <w:rFonts w:ascii="Arial" w:eastAsiaTheme="minorHAnsi" w:hAnsi="Arial" w:cs="Arial"/>
          <w:color w:val="auto"/>
          <w:sz w:val="22"/>
          <w:szCs w:val="22"/>
        </w:rPr>
        <w:t xml:space="preserve">California Chamber of Commerce and the </w:t>
      </w:r>
      <w:r w:rsidR="004A2A3B" w:rsidRPr="00CE11AE">
        <w:rPr>
          <w:rFonts w:ascii="Arial" w:eastAsiaTheme="minorHAnsi" w:hAnsi="Arial" w:cs="Arial"/>
          <w:bCs/>
          <w:color w:val="auto"/>
          <w:sz w:val="22"/>
          <w:szCs w:val="22"/>
          <w:lang w:val="en"/>
        </w:rPr>
        <w:t>California Coalition on Workers' Compensation</w:t>
      </w:r>
      <w:r w:rsidR="004A2A3B" w:rsidRPr="00CE11AE">
        <w:rPr>
          <w:rFonts w:ascii="Arial" w:eastAsiaTheme="minorHAnsi" w:hAnsi="Arial" w:cs="Arial"/>
          <w:color w:val="auto"/>
          <w:sz w:val="22"/>
          <w:szCs w:val="22"/>
          <w:lang w:val="en"/>
        </w:rPr>
        <w:t xml:space="preserve"> (</w:t>
      </w:r>
      <w:r w:rsidR="004A2A3B" w:rsidRPr="00CE11AE">
        <w:rPr>
          <w:rFonts w:ascii="Arial" w:eastAsiaTheme="minorHAnsi" w:hAnsi="Arial" w:cs="Arial"/>
          <w:bCs/>
          <w:color w:val="auto"/>
          <w:sz w:val="22"/>
          <w:szCs w:val="22"/>
          <w:lang w:val="en"/>
        </w:rPr>
        <w:t>CCWC</w:t>
      </w:r>
      <w:r w:rsidR="004A2A3B" w:rsidRPr="00CE11AE">
        <w:rPr>
          <w:rFonts w:ascii="Arial" w:eastAsiaTheme="minorHAnsi" w:hAnsi="Arial" w:cs="Arial"/>
          <w:color w:val="auto"/>
          <w:sz w:val="22"/>
          <w:szCs w:val="22"/>
          <w:lang w:val="en"/>
        </w:rPr>
        <w:t>);</w:t>
      </w:r>
      <w:r w:rsidR="004A2A3B">
        <w:rPr>
          <w:rFonts w:ascii="Arial" w:eastAsiaTheme="minorHAnsi" w:hAnsi="Arial" w:cs="Arial"/>
          <w:color w:val="auto"/>
          <w:sz w:val="22"/>
          <w:szCs w:val="22"/>
          <w:lang w:val="en"/>
        </w:rPr>
        <w:t xml:space="preserve"> </w:t>
      </w:r>
      <w:r w:rsidR="004A2A3B" w:rsidRPr="00CE11AE">
        <w:rPr>
          <w:rFonts w:ascii="Arial" w:eastAsiaTheme="minorHAnsi" w:hAnsi="Arial" w:cs="Arial"/>
          <w:color w:val="auto"/>
          <w:sz w:val="22"/>
          <w:szCs w:val="22"/>
          <w:lang w:val="en"/>
        </w:rPr>
        <w:t xml:space="preserve">and </w:t>
      </w:r>
      <w:r w:rsidR="004A2A3B">
        <w:rPr>
          <w:rFonts w:ascii="Arial" w:eastAsiaTheme="minorHAnsi" w:hAnsi="Arial" w:cs="Arial"/>
          <w:color w:val="auto"/>
          <w:sz w:val="22"/>
          <w:szCs w:val="22"/>
          <w:lang w:val="en"/>
        </w:rPr>
        <w:t xml:space="preserve">by </w:t>
      </w:r>
      <w:r w:rsidR="004A2A3B" w:rsidRPr="00CE11AE">
        <w:rPr>
          <w:rFonts w:ascii="Arial" w:eastAsiaTheme="minorHAnsi" w:hAnsi="Arial" w:cs="Arial"/>
          <w:color w:val="auto"/>
          <w:sz w:val="22"/>
          <w:szCs w:val="22"/>
          <w:lang w:val="en"/>
        </w:rPr>
        <w:t xml:space="preserve">the </w:t>
      </w:r>
      <w:r w:rsidR="00994FFC" w:rsidRPr="00CE11AE">
        <w:rPr>
          <w:rFonts w:ascii="Arial" w:eastAsiaTheme="minorHAnsi" w:hAnsi="Arial" w:cs="Arial"/>
          <w:color w:val="auto"/>
          <w:sz w:val="22"/>
          <w:szCs w:val="22"/>
          <w:lang w:val="en"/>
        </w:rPr>
        <w:t>Ameri</w:t>
      </w:r>
      <w:r w:rsidR="00994FFC">
        <w:rPr>
          <w:rFonts w:ascii="Arial" w:eastAsiaTheme="minorHAnsi" w:hAnsi="Arial" w:cs="Arial"/>
          <w:color w:val="auto"/>
          <w:sz w:val="22"/>
          <w:szCs w:val="22"/>
          <w:lang w:val="en"/>
        </w:rPr>
        <w:t>can Insurance Association (AIA)</w:t>
      </w:r>
      <w:r w:rsidR="004C1BCF">
        <w:rPr>
          <w:rFonts w:ascii="Arial" w:eastAsiaTheme="minorHAnsi" w:hAnsi="Arial" w:cs="Arial"/>
          <w:color w:val="auto"/>
          <w:sz w:val="22"/>
          <w:szCs w:val="22"/>
          <w:lang w:val="en"/>
        </w:rPr>
        <w:t>.</w:t>
      </w:r>
      <w:r w:rsidRPr="00CE11AE">
        <w:rPr>
          <w:rFonts w:ascii="Arial" w:eastAsiaTheme="minorHAnsi" w:hAnsi="Arial" w:cs="Arial"/>
          <w:color w:val="auto"/>
          <w:sz w:val="22"/>
          <w:szCs w:val="22"/>
          <w:lang w:val="en"/>
        </w:rPr>
        <w:t xml:space="preserve"> </w:t>
      </w:r>
      <w:r w:rsidR="00EB1E87">
        <w:rPr>
          <w:rFonts w:ascii="Arial" w:eastAsiaTheme="minorHAnsi" w:hAnsi="Arial" w:cs="Arial"/>
          <w:color w:val="auto"/>
          <w:sz w:val="22"/>
          <w:szCs w:val="22"/>
          <w:lang w:val="en"/>
        </w:rPr>
        <w:t xml:space="preserve"> </w:t>
      </w:r>
      <w:r w:rsidRPr="00CE11AE">
        <w:rPr>
          <w:rFonts w:ascii="Arial" w:eastAsiaTheme="minorHAnsi" w:hAnsi="Arial" w:cs="Arial"/>
          <w:color w:val="auto"/>
          <w:sz w:val="22"/>
          <w:szCs w:val="22"/>
          <w:lang w:val="en"/>
        </w:rPr>
        <w:t xml:space="preserve">In addition, the Institute offers recommendations in an effort to create greater clarity, precision, and efficiency.  </w:t>
      </w:r>
    </w:p>
    <w:p w:rsidR="00355DCD" w:rsidRDefault="00355DCD" w:rsidP="00355DCD">
      <w:pPr>
        <w:pStyle w:val="MessageHeader"/>
        <w:tabs>
          <w:tab w:val="left" w:pos="900"/>
        </w:tabs>
        <w:spacing w:after="0" w:line="240" w:lineRule="auto"/>
        <w:ind w:left="0" w:firstLine="0"/>
        <w:rPr>
          <w:rFonts w:cs="Arial"/>
          <w:sz w:val="22"/>
          <w:szCs w:val="22"/>
        </w:rPr>
      </w:pPr>
    </w:p>
    <w:p w:rsidR="00DD4B98" w:rsidRDefault="00DD4B98" w:rsidP="00355DCD">
      <w:pPr>
        <w:rPr>
          <w:rFonts w:ascii="Arial" w:eastAsiaTheme="minorHAnsi" w:hAnsi="Arial" w:cs="Arial"/>
          <w:color w:val="auto"/>
          <w:sz w:val="22"/>
          <w:szCs w:val="22"/>
        </w:rPr>
      </w:pPr>
    </w:p>
    <w:p w:rsidR="00DD4B98" w:rsidRPr="00DD4B98" w:rsidRDefault="00DD4B98" w:rsidP="00355DCD">
      <w:pPr>
        <w:rPr>
          <w:rFonts w:ascii="Arial" w:eastAsiaTheme="minorHAnsi" w:hAnsi="Arial" w:cs="Arial"/>
          <w:b/>
          <w:color w:val="auto"/>
          <w:sz w:val="22"/>
          <w:szCs w:val="22"/>
        </w:rPr>
      </w:pPr>
      <w:r>
        <w:rPr>
          <w:rFonts w:ascii="Arial" w:eastAsiaTheme="minorHAnsi" w:hAnsi="Arial" w:cs="Arial"/>
          <w:b/>
          <w:color w:val="auto"/>
          <w:sz w:val="22"/>
          <w:szCs w:val="22"/>
        </w:rPr>
        <w:t>Request for Authorization</w:t>
      </w:r>
    </w:p>
    <w:p w:rsidR="002B4AD8" w:rsidRDefault="00355DCD" w:rsidP="00355DCD">
      <w:pPr>
        <w:rPr>
          <w:rFonts w:ascii="Arial" w:eastAsiaTheme="minorHAnsi" w:hAnsi="Arial" w:cs="Arial"/>
          <w:color w:val="auto"/>
          <w:sz w:val="22"/>
          <w:szCs w:val="22"/>
        </w:rPr>
      </w:pPr>
      <w:r>
        <w:rPr>
          <w:rFonts w:ascii="Arial" w:eastAsiaTheme="minorHAnsi" w:hAnsi="Arial" w:cs="Arial"/>
          <w:color w:val="auto"/>
          <w:sz w:val="22"/>
          <w:szCs w:val="22"/>
        </w:rPr>
        <w:t xml:space="preserve">The </w:t>
      </w:r>
      <w:r w:rsidR="003C528F">
        <w:rPr>
          <w:rFonts w:ascii="Arial" w:eastAsiaTheme="minorHAnsi" w:hAnsi="Arial" w:cs="Arial"/>
          <w:color w:val="auto"/>
          <w:sz w:val="22"/>
          <w:szCs w:val="22"/>
        </w:rPr>
        <w:t>Institute strongly object</w:t>
      </w:r>
      <w:r w:rsidR="00AF19DC">
        <w:rPr>
          <w:rFonts w:ascii="Arial" w:eastAsiaTheme="minorHAnsi" w:hAnsi="Arial" w:cs="Arial"/>
          <w:color w:val="auto"/>
          <w:sz w:val="22"/>
          <w:szCs w:val="22"/>
        </w:rPr>
        <w:t>s</w:t>
      </w:r>
      <w:r w:rsidR="003C528F">
        <w:rPr>
          <w:rFonts w:ascii="Arial" w:eastAsiaTheme="minorHAnsi" w:hAnsi="Arial" w:cs="Arial"/>
          <w:color w:val="auto"/>
          <w:sz w:val="22"/>
          <w:szCs w:val="22"/>
        </w:rPr>
        <w:t xml:space="preserve"> to </w:t>
      </w:r>
      <w:r>
        <w:rPr>
          <w:rFonts w:ascii="Arial" w:eastAsiaTheme="minorHAnsi" w:hAnsi="Arial" w:cs="Arial"/>
          <w:color w:val="auto"/>
          <w:sz w:val="22"/>
          <w:szCs w:val="22"/>
        </w:rPr>
        <w:t>modifications to the proposed revisions</w:t>
      </w:r>
      <w:r w:rsidR="003C528F">
        <w:rPr>
          <w:rFonts w:ascii="Arial" w:eastAsiaTheme="minorHAnsi" w:hAnsi="Arial" w:cs="Arial"/>
          <w:color w:val="auto"/>
          <w:sz w:val="22"/>
          <w:szCs w:val="22"/>
        </w:rPr>
        <w:t xml:space="preserve"> that w</w:t>
      </w:r>
      <w:r w:rsidR="00B2135B">
        <w:rPr>
          <w:rFonts w:ascii="Arial" w:eastAsiaTheme="minorHAnsi" w:hAnsi="Arial" w:cs="Arial"/>
          <w:color w:val="auto"/>
          <w:sz w:val="22"/>
          <w:szCs w:val="22"/>
        </w:rPr>
        <w:t>ill</w:t>
      </w:r>
      <w:r w:rsidR="003C528F">
        <w:rPr>
          <w:rFonts w:ascii="Arial" w:eastAsiaTheme="minorHAnsi" w:hAnsi="Arial" w:cs="Arial"/>
          <w:color w:val="auto"/>
          <w:sz w:val="22"/>
          <w:szCs w:val="22"/>
        </w:rPr>
        <w:t xml:space="preserve"> permit requests for authorization to be made in any form</w:t>
      </w:r>
      <w:r w:rsidR="0076230A">
        <w:rPr>
          <w:rFonts w:ascii="Arial" w:eastAsiaTheme="minorHAnsi" w:hAnsi="Arial" w:cs="Arial"/>
          <w:color w:val="auto"/>
          <w:sz w:val="22"/>
          <w:szCs w:val="22"/>
        </w:rPr>
        <w:t xml:space="preserve"> and </w:t>
      </w:r>
      <w:r w:rsidR="002F3025">
        <w:rPr>
          <w:rFonts w:ascii="Arial" w:eastAsiaTheme="minorHAnsi" w:hAnsi="Arial" w:cs="Arial"/>
          <w:color w:val="auto"/>
          <w:sz w:val="22"/>
          <w:szCs w:val="22"/>
        </w:rPr>
        <w:t xml:space="preserve">to be </w:t>
      </w:r>
      <w:r w:rsidR="003C528F">
        <w:rPr>
          <w:rFonts w:ascii="Arial" w:eastAsiaTheme="minorHAnsi" w:hAnsi="Arial" w:cs="Arial"/>
          <w:color w:val="auto"/>
          <w:sz w:val="22"/>
          <w:szCs w:val="22"/>
        </w:rPr>
        <w:t xml:space="preserve">presumed </w:t>
      </w:r>
      <w:r w:rsidR="002F3025">
        <w:rPr>
          <w:rFonts w:ascii="Arial" w:eastAsiaTheme="minorHAnsi" w:hAnsi="Arial" w:cs="Arial"/>
          <w:color w:val="auto"/>
          <w:sz w:val="22"/>
          <w:szCs w:val="22"/>
        </w:rPr>
        <w:t xml:space="preserve">to be </w:t>
      </w:r>
      <w:r w:rsidR="00036D2E">
        <w:rPr>
          <w:rFonts w:ascii="Arial" w:eastAsiaTheme="minorHAnsi" w:hAnsi="Arial" w:cs="Arial"/>
          <w:color w:val="auto"/>
          <w:sz w:val="22"/>
          <w:szCs w:val="22"/>
        </w:rPr>
        <w:t>agreed</w:t>
      </w:r>
      <w:r w:rsidR="003C528F">
        <w:rPr>
          <w:rFonts w:ascii="Arial" w:eastAsiaTheme="minorHAnsi" w:hAnsi="Arial" w:cs="Arial"/>
          <w:color w:val="auto"/>
          <w:sz w:val="22"/>
          <w:szCs w:val="22"/>
        </w:rPr>
        <w:t xml:space="preserve"> to</w:t>
      </w:r>
      <w:r w:rsidR="0076230A">
        <w:rPr>
          <w:rFonts w:ascii="Arial" w:eastAsiaTheme="minorHAnsi" w:hAnsi="Arial" w:cs="Arial"/>
          <w:color w:val="auto"/>
          <w:sz w:val="22"/>
          <w:szCs w:val="22"/>
        </w:rPr>
        <w:t xml:space="preserve"> if </w:t>
      </w:r>
      <w:r w:rsidR="002E4EF2">
        <w:rPr>
          <w:rFonts w:ascii="Arial" w:eastAsiaTheme="minorHAnsi" w:hAnsi="Arial" w:cs="Arial"/>
          <w:color w:val="auto"/>
          <w:sz w:val="22"/>
          <w:szCs w:val="22"/>
        </w:rPr>
        <w:t xml:space="preserve">the claims administrator fails to object within </w:t>
      </w:r>
      <w:r w:rsidR="00B2135B">
        <w:rPr>
          <w:rFonts w:ascii="Arial" w:eastAsiaTheme="minorHAnsi" w:hAnsi="Arial" w:cs="Arial"/>
          <w:color w:val="auto"/>
          <w:sz w:val="22"/>
          <w:szCs w:val="22"/>
        </w:rPr>
        <w:t>five working days</w:t>
      </w:r>
      <w:r w:rsidR="002E4EF2">
        <w:rPr>
          <w:rFonts w:ascii="Arial" w:eastAsiaTheme="minorHAnsi" w:hAnsi="Arial" w:cs="Arial"/>
          <w:color w:val="auto"/>
          <w:sz w:val="22"/>
          <w:szCs w:val="22"/>
        </w:rPr>
        <w:t xml:space="preserve">. </w:t>
      </w:r>
      <w:r w:rsidR="0076230A">
        <w:rPr>
          <w:rFonts w:ascii="Arial" w:eastAsiaTheme="minorHAnsi" w:hAnsi="Arial" w:cs="Arial"/>
          <w:color w:val="auto"/>
          <w:sz w:val="22"/>
          <w:szCs w:val="22"/>
        </w:rPr>
        <w:t xml:space="preserve">If providers are not required to </w:t>
      </w:r>
      <w:r w:rsidR="00036D2E">
        <w:rPr>
          <w:rFonts w:ascii="Arial" w:eastAsiaTheme="minorHAnsi" w:hAnsi="Arial" w:cs="Arial"/>
          <w:color w:val="auto"/>
          <w:sz w:val="22"/>
          <w:szCs w:val="22"/>
        </w:rPr>
        <w:t xml:space="preserve">submit requests via </w:t>
      </w:r>
      <w:r w:rsidR="0076230A">
        <w:rPr>
          <w:rFonts w:ascii="Arial" w:eastAsiaTheme="minorHAnsi" w:hAnsi="Arial" w:cs="Arial"/>
          <w:color w:val="auto"/>
          <w:sz w:val="22"/>
          <w:szCs w:val="22"/>
        </w:rPr>
        <w:t>a standard request form</w:t>
      </w:r>
      <w:r w:rsidR="00036D2E">
        <w:rPr>
          <w:rFonts w:ascii="Arial" w:eastAsiaTheme="minorHAnsi" w:hAnsi="Arial" w:cs="Arial"/>
          <w:color w:val="auto"/>
          <w:sz w:val="22"/>
          <w:szCs w:val="22"/>
        </w:rPr>
        <w:t>, t</w:t>
      </w:r>
      <w:r w:rsidR="0076230A">
        <w:rPr>
          <w:rFonts w:ascii="Arial" w:eastAsiaTheme="minorHAnsi" w:hAnsi="Arial" w:cs="Arial"/>
          <w:color w:val="auto"/>
          <w:sz w:val="22"/>
          <w:szCs w:val="22"/>
        </w:rPr>
        <w:t>he claims administrator</w:t>
      </w:r>
      <w:r w:rsidR="00036D2E">
        <w:rPr>
          <w:rFonts w:ascii="Arial" w:eastAsiaTheme="minorHAnsi" w:hAnsi="Arial" w:cs="Arial"/>
          <w:color w:val="auto"/>
          <w:sz w:val="22"/>
          <w:szCs w:val="22"/>
        </w:rPr>
        <w:t xml:space="preserve"> may not</w:t>
      </w:r>
      <w:r w:rsidR="00DA2BAE">
        <w:rPr>
          <w:rFonts w:ascii="Arial" w:eastAsiaTheme="minorHAnsi" w:hAnsi="Arial" w:cs="Arial"/>
          <w:color w:val="auto"/>
          <w:sz w:val="22"/>
          <w:szCs w:val="22"/>
        </w:rPr>
        <w:t xml:space="preserve"> be able to</w:t>
      </w:r>
      <w:r w:rsidR="00036D2E">
        <w:rPr>
          <w:rFonts w:ascii="Arial" w:eastAsiaTheme="minorHAnsi" w:hAnsi="Arial" w:cs="Arial"/>
          <w:color w:val="auto"/>
          <w:sz w:val="22"/>
          <w:szCs w:val="22"/>
        </w:rPr>
        <w:t xml:space="preserve"> identify a request</w:t>
      </w:r>
      <w:r w:rsidR="00DA2BAE">
        <w:rPr>
          <w:rFonts w:ascii="Arial" w:eastAsiaTheme="minorHAnsi" w:hAnsi="Arial" w:cs="Arial"/>
          <w:color w:val="auto"/>
          <w:sz w:val="22"/>
          <w:szCs w:val="22"/>
        </w:rPr>
        <w:t xml:space="preserve"> or </w:t>
      </w:r>
      <w:r w:rsidR="00377E20">
        <w:rPr>
          <w:rFonts w:ascii="Arial" w:eastAsiaTheme="minorHAnsi" w:hAnsi="Arial" w:cs="Arial"/>
          <w:color w:val="auto"/>
          <w:sz w:val="22"/>
          <w:szCs w:val="22"/>
        </w:rPr>
        <w:t xml:space="preserve">may </w:t>
      </w:r>
      <w:r w:rsidR="00DA2BAE">
        <w:rPr>
          <w:rFonts w:ascii="Arial" w:eastAsiaTheme="minorHAnsi" w:hAnsi="Arial" w:cs="Arial"/>
          <w:color w:val="auto"/>
          <w:sz w:val="22"/>
          <w:szCs w:val="22"/>
        </w:rPr>
        <w:t xml:space="preserve">not be able to </w:t>
      </w:r>
      <w:r w:rsidR="00330511">
        <w:rPr>
          <w:rFonts w:ascii="Arial" w:eastAsiaTheme="minorHAnsi" w:hAnsi="Arial" w:cs="Arial"/>
          <w:color w:val="auto"/>
          <w:sz w:val="22"/>
          <w:szCs w:val="22"/>
        </w:rPr>
        <w:t>do so</w:t>
      </w:r>
      <w:r w:rsidR="00DA2BAE">
        <w:rPr>
          <w:rFonts w:ascii="Arial" w:eastAsiaTheme="minorHAnsi" w:hAnsi="Arial" w:cs="Arial"/>
          <w:color w:val="auto"/>
          <w:sz w:val="22"/>
          <w:szCs w:val="22"/>
        </w:rPr>
        <w:t xml:space="preserve"> timely</w:t>
      </w:r>
      <w:r w:rsidR="004662FE">
        <w:rPr>
          <w:rFonts w:ascii="Arial" w:eastAsiaTheme="minorHAnsi" w:hAnsi="Arial" w:cs="Arial"/>
          <w:color w:val="auto"/>
          <w:sz w:val="22"/>
          <w:szCs w:val="22"/>
        </w:rPr>
        <w:t xml:space="preserve">, </w:t>
      </w:r>
      <w:r w:rsidR="00330511">
        <w:rPr>
          <w:rFonts w:ascii="Arial" w:eastAsiaTheme="minorHAnsi" w:hAnsi="Arial" w:cs="Arial"/>
          <w:color w:val="auto"/>
          <w:sz w:val="22"/>
          <w:szCs w:val="22"/>
        </w:rPr>
        <w:t>which</w:t>
      </w:r>
      <w:r w:rsidR="004662FE">
        <w:rPr>
          <w:rFonts w:ascii="Arial" w:eastAsiaTheme="minorHAnsi" w:hAnsi="Arial" w:cs="Arial"/>
          <w:color w:val="auto"/>
          <w:sz w:val="22"/>
          <w:szCs w:val="22"/>
        </w:rPr>
        <w:t xml:space="preserve"> will generate unnecessary</w:t>
      </w:r>
      <w:r w:rsidR="00DA2BAE">
        <w:rPr>
          <w:rFonts w:ascii="Arial" w:eastAsiaTheme="minorHAnsi" w:hAnsi="Arial" w:cs="Arial"/>
          <w:color w:val="auto"/>
          <w:sz w:val="22"/>
          <w:szCs w:val="22"/>
        </w:rPr>
        <w:t xml:space="preserve"> </w:t>
      </w:r>
      <w:r w:rsidR="004662FE">
        <w:rPr>
          <w:rFonts w:ascii="Arial" w:eastAsiaTheme="minorHAnsi" w:hAnsi="Arial" w:cs="Arial"/>
          <w:color w:val="auto"/>
          <w:sz w:val="22"/>
          <w:szCs w:val="22"/>
        </w:rPr>
        <w:t>treatment delays, disputes and penalties</w:t>
      </w:r>
      <w:r w:rsidR="00DA2BAE">
        <w:rPr>
          <w:rFonts w:ascii="Arial" w:eastAsiaTheme="minorHAnsi" w:hAnsi="Arial" w:cs="Arial"/>
          <w:color w:val="auto"/>
          <w:sz w:val="22"/>
          <w:szCs w:val="22"/>
        </w:rPr>
        <w:t>.</w:t>
      </w:r>
      <w:r w:rsidR="0087080D">
        <w:rPr>
          <w:rFonts w:ascii="Arial" w:eastAsiaTheme="minorHAnsi" w:hAnsi="Arial" w:cs="Arial"/>
          <w:color w:val="auto"/>
          <w:sz w:val="22"/>
          <w:szCs w:val="22"/>
        </w:rPr>
        <w:t xml:space="preserve">  </w:t>
      </w:r>
      <w:r w:rsidR="00330511">
        <w:rPr>
          <w:rFonts w:ascii="Arial" w:eastAsiaTheme="minorHAnsi" w:hAnsi="Arial" w:cs="Arial"/>
          <w:color w:val="auto"/>
          <w:sz w:val="22"/>
          <w:szCs w:val="22"/>
        </w:rPr>
        <w:t xml:space="preserve">Many large claims administrators must </w:t>
      </w:r>
      <w:r w:rsidR="00D6480F">
        <w:rPr>
          <w:rFonts w:ascii="Arial" w:eastAsiaTheme="minorHAnsi" w:hAnsi="Arial" w:cs="Arial"/>
          <w:color w:val="auto"/>
          <w:sz w:val="22"/>
          <w:szCs w:val="22"/>
        </w:rPr>
        <w:t>rely on</w:t>
      </w:r>
      <w:r w:rsidR="00330511">
        <w:rPr>
          <w:rFonts w:ascii="Arial" w:eastAsiaTheme="minorHAnsi" w:hAnsi="Arial" w:cs="Arial"/>
          <w:color w:val="auto"/>
          <w:sz w:val="22"/>
          <w:szCs w:val="22"/>
        </w:rPr>
        <w:t xml:space="preserve"> OCR (optical character recognition) </w:t>
      </w:r>
      <w:r w:rsidR="00D6480F">
        <w:rPr>
          <w:rFonts w:ascii="Arial" w:eastAsiaTheme="minorHAnsi" w:hAnsi="Arial" w:cs="Arial"/>
          <w:color w:val="auto"/>
          <w:sz w:val="22"/>
          <w:szCs w:val="22"/>
        </w:rPr>
        <w:t xml:space="preserve">technology </w:t>
      </w:r>
      <w:r w:rsidR="00330511">
        <w:rPr>
          <w:rFonts w:ascii="Arial" w:eastAsiaTheme="minorHAnsi" w:hAnsi="Arial" w:cs="Arial"/>
          <w:color w:val="auto"/>
          <w:sz w:val="22"/>
          <w:szCs w:val="22"/>
        </w:rPr>
        <w:t xml:space="preserve">to </w:t>
      </w:r>
      <w:r w:rsidR="00D6480F">
        <w:rPr>
          <w:rFonts w:ascii="Arial" w:eastAsiaTheme="minorHAnsi" w:hAnsi="Arial" w:cs="Arial"/>
          <w:color w:val="auto"/>
          <w:sz w:val="22"/>
          <w:szCs w:val="22"/>
        </w:rPr>
        <w:t xml:space="preserve">timely </w:t>
      </w:r>
      <w:r w:rsidR="00330511">
        <w:rPr>
          <w:rFonts w:ascii="Arial" w:eastAsiaTheme="minorHAnsi" w:hAnsi="Arial" w:cs="Arial"/>
          <w:color w:val="auto"/>
          <w:sz w:val="22"/>
          <w:szCs w:val="22"/>
        </w:rPr>
        <w:t>identify requests</w:t>
      </w:r>
      <w:r w:rsidR="00D6480F">
        <w:rPr>
          <w:rFonts w:ascii="Arial" w:eastAsiaTheme="minorHAnsi" w:hAnsi="Arial" w:cs="Arial"/>
          <w:color w:val="auto"/>
          <w:sz w:val="22"/>
          <w:szCs w:val="22"/>
        </w:rPr>
        <w:t xml:space="preserve">.  </w:t>
      </w:r>
      <w:r w:rsidR="00784414">
        <w:rPr>
          <w:rFonts w:ascii="Arial" w:eastAsiaTheme="minorHAnsi" w:hAnsi="Arial" w:cs="Arial"/>
          <w:color w:val="auto"/>
          <w:sz w:val="22"/>
          <w:szCs w:val="22"/>
        </w:rPr>
        <w:t>Requiring</w:t>
      </w:r>
      <w:r w:rsidR="000C31F8">
        <w:rPr>
          <w:rFonts w:ascii="Arial" w:eastAsiaTheme="minorHAnsi" w:hAnsi="Arial" w:cs="Arial"/>
          <w:color w:val="auto"/>
          <w:sz w:val="22"/>
          <w:szCs w:val="22"/>
        </w:rPr>
        <w:t xml:space="preserve"> </w:t>
      </w:r>
      <w:r w:rsidR="00347783">
        <w:rPr>
          <w:rFonts w:ascii="Arial" w:eastAsiaTheme="minorHAnsi" w:hAnsi="Arial" w:cs="Arial"/>
          <w:color w:val="auto"/>
          <w:sz w:val="22"/>
          <w:szCs w:val="22"/>
        </w:rPr>
        <w:t xml:space="preserve">“Request for Authorization” </w:t>
      </w:r>
      <w:r w:rsidR="00623F7E">
        <w:rPr>
          <w:rFonts w:ascii="Arial" w:eastAsiaTheme="minorHAnsi" w:hAnsi="Arial" w:cs="Arial"/>
          <w:color w:val="auto"/>
          <w:sz w:val="22"/>
          <w:szCs w:val="22"/>
        </w:rPr>
        <w:t xml:space="preserve">to </w:t>
      </w:r>
      <w:r w:rsidR="00E97BD8">
        <w:rPr>
          <w:rFonts w:ascii="Arial" w:eastAsiaTheme="minorHAnsi" w:hAnsi="Arial" w:cs="Arial"/>
          <w:color w:val="auto"/>
          <w:sz w:val="22"/>
          <w:szCs w:val="22"/>
        </w:rPr>
        <w:t xml:space="preserve">be clearly written </w:t>
      </w:r>
      <w:r w:rsidR="00347783">
        <w:rPr>
          <w:rFonts w:ascii="Arial" w:eastAsiaTheme="minorHAnsi" w:hAnsi="Arial" w:cs="Arial"/>
          <w:color w:val="auto"/>
          <w:sz w:val="22"/>
          <w:szCs w:val="22"/>
        </w:rPr>
        <w:t>at the top of the first page of</w:t>
      </w:r>
      <w:r w:rsidR="00784414">
        <w:rPr>
          <w:rFonts w:ascii="Arial" w:eastAsiaTheme="minorHAnsi" w:hAnsi="Arial" w:cs="Arial"/>
          <w:color w:val="auto"/>
          <w:sz w:val="22"/>
          <w:szCs w:val="22"/>
        </w:rPr>
        <w:t xml:space="preserve"> </w:t>
      </w:r>
      <w:r w:rsidR="00347783">
        <w:rPr>
          <w:rFonts w:ascii="Arial" w:eastAsiaTheme="minorHAnsi" w:hAnsi="Arial" w:cs="Arial"/>
          <w:color w:val="auto"/>
          <w:sz w:val="22"/>
          <w:szCs w:val="22"/>
        </w:rPr>
        <w:t xml:space="preserve">a </w:t>
      </w:r>
      <w:r w:rsidR="00E97BD8">
        <w:rPr>
          <w:rFonts w:ascii="Arial" w:eastAsiaTheme="minorHAnsi" w:hAnsi="Arial" w:cs="Arial"/>
          <w:color w:val="auto"/>
          <w:sz w:val="22"/>
          <w:szCs w:val="22"/>
        </w:rPr>
        <w:t>document</w:t>
      </w:r>
      <w:r w:rsidR="00F26B30">
        <w:rPr>
          <w:rFonts w:ascii="Arial" w:eastAsiaTheme="minorHAnsi" w:hAnsi="Arial" w:cs="Arial"/>
          <w:color w:val="auto"/>
          <w:sz w:val="22"/>
          <w:szCs w:val="22"/>
        </w:rPr>
        <w:t xml:space="preserve"> </w:t>
      </w:r>
      <w:r w:rsidR="00347783">
        <w:rPr>
          <w:rFonts w:ascii="Arial" w:eastAsiaTheme="minorHAnsi" w:hAnsi="Arial" w:cs="Arial"/>
          <w:color w:val="auto"/>
          <w:sz w:val="22"/>
          <w:szCs w:val="22"/>
        </w:rPr>
        <w:t xml:space="preserve">does not </w:t>
      </w:r>
      <w:r w:rsidR="00F26B30">
        <w:rPr>
          <w:rFonts w:ascii="Arial" w:eastAsiaTheme="minorHAnsi" w:hAnsi="Arial" w:cs="Arial"/>
          <w:color w:val="auto"/>
          <w:sz w:val="22"/>
          <w:szCs w:val="22"/>
        </w:rPr>
        <w:t xml:space="preserve">mean it will be </w:t>
      </w:r>
      <w:r w:rsidR="00347783">
        <w:rPr>
          <w:rFonts w:ascii="Arial" w:eastAsiaTheme="minorHAnsi" w:hAnsi="Arial" w:cs="Arial"/>
          <w:color w:val="auto"/>
          <w:sz w:val="22"/>
          <w:szCs w:val="22"/>
        </w:rPr>
        <w:t>recogni</w:t>
      </w:r>
      <w:r w:rsidR="00F26B30">
        <w:rPr>
          <w:rFonts w:ascii="Arial" w:eastAsiaTheme="minorHAnsi" w:hAnsi="Arial" w:cs="Arial"/>
          <w:color w:val="auto"/>
          <w:sz w:val="22"/>
          <w:szCs w:val="22"/>
        </w:rPr>
        <w:t>ze</w:t>
      </w:r>
      <w:r w:rsidR="00623F7E">
        <w:rPr>
          <w:rFonts w:ascii="Arial" w:eastAsiaTheme="minorHAnsi" w:hAnsi="Arial" w:cs="Arial"/>
          <w:color w:val="auto"/>
          <w:sz w:val="22"/>
          <w:szCs w:val="22"/>
        </w:rPr>
        <w:t>d</w:t>
      </w:r>
      <w:r w:rsidR="00F26B30">
        <w:rPr>
          <w:rFonts w:ascii="Arial" w:eastAsiaTheme="minorHAnsi" w:hAnsi="Arial" w:cs="Arial"/>
          <w:color w:val="auto"/>
          <w:sz w:val="22"/>
          <w:szCs w:val="22"/>
        </w:rPr>
        <w:t xml:space="preserve"> as a request for authorization</w:t>
      </w:r>
      <w:r w:rsidR="00623F7E">
        <w:rPr>
          <w:rFonts w:ascii="Arial" w:eastAsiaTheme="minorHAnsi" w:hAnsi="Arial" w:cs="Arial"/>
          <w:color w:val="auto"/>
          <w:sz w:val="22"/>
          <w:szCs w:val="22"/>
        </w:rPr>
        <w:t xml:space="preserve"> </w:t>
      </w:r>
      <w:r w:rsidR="00F26B30">
        <w:rPr>
          <w:rFonts w:ascii="Arial" w:eastAsiaTheme="minorHAnsi" w:hAnsi="Arial" w:cs="Arial"/>
          <w:color w:val="auto"/>
          <w:sz w:val="22"/>
          <w:szCs w:val="22"/>
        </w:rPr>
        <w:t xml:space="preserve">by </w:t>
      </w:r>
      <w:r w:rsidR="00347783">
        <w:rPr>
          <w:rFonts w:ascii="Arial" w:eastAsiaTheme="minorHAnsi" w:hAnsi="Arial" w:cs="Arial"/>
          <w:color w:val="auto"/>
          <w:sz w:val="22"/>
          <w:szCs w:val="22"/>
        </w:rPr>
        <w:t>OCR</w:t>
      </w:r>
      <w:r w:rsidR="00F26B30">
        <w:rPr>
          <w:rFonts w:ascii="Arial" w:eastAsiaTheme="minorHAnsi" w:hAnsi="Arial" w:cs="Arial"/>
          <w:color w:val="auto"/>
          <w:sz w:val="22"/>
          <w:szCs w:val="22"/>
        </w:rPr>
        <w:t xml:space="preserve"> technology</w:t>
      </w:r>
      <w:r w:rsidR="00347783">
        <w:rPr>
          <w:rFonts w:ascii="Arial" w:eastAsiaTheme="minorHAnsi" w:hAnsi="Arial" w:cs="Arial"/>
          <w:color w:val="auto"/>
          <w:sz w:val="22"/>
          <w:szCs w:val="22"/>
        </w:rPr>
        <w:t xml:space="preserve">.  </w:t>
      </w:r>
      <w:r w:rsidR="006214B1">
        <w:rPr>
          <w:rFonts w:ascii="Arial" w:eastAsiaTheme="minorHAnsi" w:hAnsi="Arial" w:cs="Arial"/>
          <w:color w:val="auto"/>
          <w:sz w:val="22"/>
          <w:szCs w:val="22"/>
        </w:rPr>
        <w:t xml:space="preserve">Additional staff and other resources will be necessary to review every piece of incoming mail, slowing the approval process and </w:t>
      </w:r>
      <w:r w:rsidR="00B5478E">
        <w:rPr>
          <w:rFonts w:ascii="Arial" w:eastAsiaTheme="minorHAnsi" w:hAnsi="Arial" w:cs="Arial"/>
          <w:color w:val="auto"/>
          <w:sz w:val="22"/>
          <w:szCs w:val="22"/>
        </w:rPr>
        <w:t>unnecessarily</w:t>
      </w:r>
      <w:r w:rsidR="006214B1">
        <w:rPr>
          <w:rFonts w:ascii="Arial" w:eastAsiaTheme="minorHAnsi" w:hAnsi="Arial" w:cs="Arial"/>
          <w:color w:val="auto"/>
          <w:sz w:val="22"/>
          <w:szCs w:val="22"/>
        </w:rPr>
        <w:t xml:space="preserve"> increas</w:t>
      </w:r>
      <w:r w:rsidR="00B5478E">
        <w:rPr>
          <w:rFonts w:ascii="Arial" w:eastAsiaTheme="minorHAnsi" w:hAnsi="Arial" w:cs="Arial"/>
          <w:color w:val="auto"/>
          <w:sz w:val="22"/>
          <w:szCs w:val="22"/>
        </w:rPr>
        <w:t>ing</w:t>
      </w:r>
      <w:r w:rsidR="006214B1">
        <w:rPr>
          <w:rFonts w:ascii="Arial" w:eastAsiaTheme="minorHAnsi" w:hAnsi="Arial" w:cs="Arial"/>
          <w:color w:val="auto"/>
          <w:sz w:val="22"/>
          <w:szCs w:val="22"/>
        </w:rPr>
        <w:t xml:space="preserve"> </w:t>
      </w:r>
      <w:r w:rsidR="00B5478E">
        <w:rPr>
          <w:rFonts w:ascii="Arial" w:eastAsiaTheme="minorHAnsi" w:hAnsi="Arial" w:cs="Arial"/>
          <w:color w:val="auto"/>
          <w:sz w:val="22"/>
          <w:szCs w:val="22"/>
        </w:rPr>
        <w:t xml:space="preserve">costs and </w:t>
      </w:r>
      <w:r w:rsidR="006214B1">
        <w:rPr>
          <w:rFonts w:ascii="Arial" w:eastAsiaTheme="minorHAnsi" w:hAnsi="Arial" w:cs="Arial"/>
          <w:color w:val="auto"/>
          <w:sz w:val="22"/>
          <w:szCs w:val="22"/>
        </w:rPr>
        <w:t xml:space="preserve">administrative expenses.  </w:t>
      </w:r>
    </w:p>
    <w:p w:rsidR="002B4AD8" w:rsidRDefault="002B4AD8" w:rsidP="00355DCD">
      <w:pPr>
        <w:rPr>
          <w:rFonts w:ascii="Arial" w:eastAsiaTheme="minorHAnsi" w:hAnsi="Arial" w:cs="Arial"/>
          <w:color w:val="auto"/>
          <w:sz w:val="22"/>
          <w:szCs w:val="22"/>
        </w:rPr>
      </w:pPr>
    </w:p>
    <w:p w:rsidR="00DF7305" w:rsidRDefault="002B4AD8" w:rsidP="00355DCD">
      <w:pPr>
        <w:rPr>
          <w:rFonts w:ascii="Arial" w:eastAsiaTheme="minorHAnsi" w:hAnsi="Arial" w:cs="Arial"/>
          <w:color w:val="auto"/>
          <w:sz w:val="22"/>
          <w:szCs w:val="22"/>
        </w:rPr>
      </w:pPr>
      <w:r>
        <w:rPr>
          <w:rFonts w:ascii="Arial" w:eastAsiaTheme="minorHAnsi" w:hAnsi="Arial" w:cs="Arial"/>
          <w:color w:val="auto"/>
          <w:sz w:val="22"/>
          <w:szCs w:val="22"/>
        </w:rPr>
        <w:t xml:space="preserve">The Institute also objects </w:t>
      </w:r>
      <w:r w:rsidR="00DF7305">
        <w:rPr>
          <w:rFonts w:ascii="Arial" w:eastAsiaTheme="minorHAnsi" w:hAnsi="Arial" w:cs="Arial"/>
          <w:color w:val="auto"/>
          <w:sz w:val="22"/>
          <w:szCs w:val="22"/>
        </w:rPr>
        <w:t xml:space="preserve">to modifications to the proposed revisions that would permit requests for authorization </w:t>
      </w:r>
      <w:r w:rsidR="00D705C8">
        <w:rPr>
          <w:rFonts w:ascii="Arial" w:eastAsiaTheme="minorHAnsi" w:hAnsi="Arial" w:cs="Arial"/>
          <w:color w:val="auto"/>
          <w:sz w:val="22"/>
          <w:szCs w:val="22"/>
        </w:rPr>
        <w:t xml:space="preserve">that fail to provide critical information, but that are </w:t>
      </w:r>
      <w:r w:rsidR="00DF7305">
        <w:rPr>
          <w:rFonts w:ascii="Arial" w:eastAsiaTheme="minorHAnsi" w:hAnsi="Arial" w:cs="Arial"/>
          <w:color w:val="auto"/>
          <w:sz w:val="22"/>
          <w:szCs w:val="22"/>
        </w:rPr>
        <w:t xml:space="preserve">made on the standard form </w:t>
      </w:r>
      <w:r w:rsidR="00D705C8">
        <w:rPr>
          <w:rFonts w:ascii="Arial" w:eastAsiaTheme="minorHAnsi" w:hAnsi="Arial" w:cs="Arial"/>
          <w:color w:val="auto"/>
          <w:sz w:val="22"/>
          <w:szCs w:val="22"/>
        </w:rPr>
        <w:t>to</w:t>
      </w:r>
      <w:r w:rsidR="00DB63B4">
        <w:rPr>
          <w:rFonts w:ascii="Arial" w:eastAsiaTheme="minorHAnsi" w:hAnsi="Arial" w:cs="Arial"/>
          <w:color w:val="auto"/>
          <w:sz w:val="22"/>
          <w:szCs w:val="22"/>
        </w:rPr>
        <w:t xml:space="preserve"> be</w:t>
      </w:r>
      <w:r w:rsidR="00DF7305">
        <w:rPr>
          <w:rFonts w:ascii="Arial" w:eastAsiaTheme="minorHAnsi" w:hAnsi="Arial" w:cs="Arial"/>
          <w:color w:val="auto"/>
          <w:sz w:val="22"/>
          <w:szCs w:val="22"/>
        </w:rPr>
        <w:t xml:space="preserve"> presumed to be agreed to if the claims administrator fails to object within five working days. </w:t>
      </w:r>
      <w:r w:rsidR="00DB63B4">
        <w:rPr>
          <w:rFonts w:ascii="Arial" w:eastAsiaTheme="minorHAnsi" w:hAnsi="Arial" w:cs="Arial"/>
          <w:color w:val="auto"/>
          <w:sz w:val="22"/>
          <w:szCs w:val="22"/>
        </w:rPr>
        <w:t>In this instance,</w:t>
      </w:r>
      <w:r w:rsidR="00DF7305">
        <w:rPr>
          <w:rFonts w:ascii="Arial" w:eastAsiaTheme="minorHAnsi" w:hAnsi="Arial" w:cs="Arial"/>
          <w:color w:val="auto"/>
          <w:sz w:val="22"/>
          <w:szCs w:val="22"/>
        </w:rPr>
        <w:t xml:space="preserve"> the </w:t>
      </w:r>
      <w:r w:rsidR="003526BC">
        <w:rPr>
          <w:rFonts w:ascii="Arial" w:eastAsiaTheme="minorHAnsi" w:hAnsi="Arial" w:cs="Arial"/>
          <w:color w:val="auto"/>
          <w:sz w:val="22"/>
          <w:szCs w:val="22"/>
        </w:rPr>
        <w:t>RFA form would be identified as the appropriate standard form</w:t>
      </w:r>
      <w:r w:rsidR="00D705C8">
        <w:rPr>
          <w:rFonts w:ascii="Arial" w:eastAsiaTheme="minorHAnsi" w:hAnsi="Arial" w:cs="Arial"/>
          <w:color w:val="auto"/>
          <w:sz w:val="22"/>
          <w:szCs w:val="22"/>
        </w:rPr>
        <w:t>,</w:t>
      </w:r>
      <w:r w:rsidR="003526BC">
        <w:rPr>
          <w:rFonts w:ascii="Arial" w:eastAsiaTheme="minorHAnsi" w:hAnsi="Arial" w:cs="Arial"/>
          <w:color w:val="auto"/>
          <w:sz w:val="22"/>
          <w:szCs w:val="22"/>
        </w:rPr>
        <w:t xml:space="preserve"> but the </w:t>
      </w:r>
      <w:r w:rsidR="00DF7305">
        <w:rPr>
          <w:rFonts w:ascii="Arial" w:eastAsiaTheme="minorHAnsi" w:hAnsi="Arial" w:cs="Arial"/>
          <w:color w:val="auto"/>
          <w:sz w:val="22"/>
          <w:szCs w:val="22"/>
        </w:rPr>
        <w:t xml:space="preserve">claims administrator may </w:t>
      </w:r>
      <w:r w:rsidR="003526BC">
        <w:rPr>
          <w:rFonts w:ascii="Arial" w:eastAsiaTheme="minorHAnsi" w:hAnsi="Arial" w:cs="Arial"/>
          <w:color w:val="auto"/>
          <w:sz w:val="22"/>
          <w:szCs w:val="22"/>
        </w:rPr>
        <w:t>have failed to</w:t>
      </w:r>
      <w:r w:rsidR="00DF7305">
        <w:rPr>
          <w:rFonts w:ascii="Arial" w:eastAsiaTheme="minorHAnsi" w:hAnsi="Arial" w:cs="Arial"/>
          <w:color w:val="auto"/>
          <w:sz w:val="22"/>
          <w:szCs w:val="22"/>
        </w:rPr>
        <w:t xml:space="preserve"> </w:t>
      </w:r>
      <w:r w:rsidR="003526BC">
        <w:rPr>
          <w:rFonts w:ascii="Arial" w:eastAsiaTheme="minorHAnsi" w:hAnsi="Arial" w:cs="Arial"/>
          <w:color w:val="auto"/>
          <w:sz w:val="22"/>
          <w:szCs w:val="22"/>
        </w:rPr>
        <w:t xml:space="preserve">timely </w:t>
      </w:r>
      <w:r w:rsidR="00DF7305">
        <w:rPr>
          <w:rFonts w:ascii="Arial" w:eastAsiaTheme="minorHAnsi" w:hAnsi="Arial" w:cs="Arial"/>
          <w:color w:val="auto"/>
          <w:sz w:val="22"/>
          <w:szCs w:val="22"/>
        </w:rPr>
        <w:t xml:space="preserve">identify </w:t>
      </w:r>
      <w:r w:rsidR="003526BC">
        <w:rPr>
          <w:rFonts w:ascii="Arial" w:eastAsiaTheme="minorHAnsi" w:hAnsi="Arial" w:cs="Arial"/>
          <w:color w:val="auto"/>
          <w:sz w:val="22"/>
          <w:szCs w:val="22"/>
        </w:rPr>
        <w:t>critical omission</w:t>
      </w:r>
      <w:r w:rsidR="003A6E97">
        <w:rPr>
          <w:rFonts w:ascii="Arial" w:eastAsiaTheme="minorHAnsi" w:hAnsi="Arial" w:cs="Arial"/>
          <w:color w:val="auto"/>
          <w:sz w:val="22"/>
          <w:szCs w:val="22"/>
        </w:rPr>
        <w:t>s</w:t>
      </w:r>
      <w:r w:rsidR="003526BC">
        <w:rPr>
          <w:rFonts w:ascii="Arial" w:eastAsiaTheme="minorHAnsi" w:hAnsi="Arial" w:cs="Arial"/>
          <w:color w:val="auto"/>
          <w:sz w:val="22"/>
          <w:szCs w:val="22"/>
        </w:rPr>
        <w:t xml:space="preserve">. </w:t>
      </w:r>
      <w:r w:rsidR="006C2907">
        <w:rPr>
          <w:rFonts w:ascii="Arial" w:eastAsiaTheme="minorHAnsi" w:hAnsi="Arial" w:cs="Arial"/>
          <w:color w:val="auto"/>
          <w:sz w:val="22"/>
          <w:szCs w:val="22"/>
        </w:rPr>
        <w:t>This</w:t>
      </w:r>
      <w:r w:rsidR="003526BC">
        <w:rPr>
          <w:rFonts w:ascii="Arial" w:eastAsiaTheme="minorHAnsi" w:hAnsi="Arial" w:cs="Arial"/>
          <w:color w:val="auto"/>
          <w:sz w:val="22"/>
          <w:szCs w:val="22"/>
        </w:rPr>
        <w:t xml:space="preserve"> too</w:t>
      </w:r>
      <w:r w:rsidR="00DF7305">
        <w:rPr>
          <w:rFonts w:ascii="Arial" w:eastAsiaTheme="minorHAnsi" w:hAnsi="Arial" w:cs="Arial"/>
          <w:color w:val="auto"/>
          <w:sz w:val="22"/>
          <w:szCs w:val="22"/>
        </w:rPr>
        <w:t xml:space="preserve"> will generate unnecessary treatment delays, disputes and penalties.  </w:t>
      </w:r>
    </w:p>
    <w:p w:rsidR="00DF7305" w:rsidRDefault="00DF7305" w:rsidP="00355DCD">
      <w:pPr>
        <w:rPr>
          <w:rFonts w:ascii="Arial" w:eastAsiaTheme="minorHAnsi" w:hAnsi="Arial" w:cs="Arial"/>
          <w:color w:val="auto"/>
          <w:sz w:val="22"/>
          <w:szCs w:val="22"/>
        </w:rPr>
      </w:pPr>
    </w:p>
    <w:p w:rsidR="006C2907" w:rsidRDefault="006C2907" w:rsidP="006C2907">
      <w:pPr>
        <w:rPr>
          <w:rFonts w:ascii="Arial" w:eastAsiaTheme="minorHAnsi" w:hAnsi="Arial" w:cs="Arial"/>
          <w:color w:val="auto"/>
          <w:sz w:val="22"/>
          <w:szCs w:val="22"/>
        </w:rPr>
      </w:pPr>
      <w:r>
        <w:rPr>
          <w:rFonts w:ascii="Arial" w:eastAsiaTheme="minorHAnsi" w:hAnsi="Arial" w:cs="Arial"/>
          <w:color w:val="auto"/>
          <w:sz w:val="22"/>
          <w:szCs w:val="22"/>
        </w:rPr>
        <w:t>If a deficient request is not identified within five working days:</w:t>
      </w:r>
    </w:p>
    <w:p w:rsidR="006C2907" w:rsidRDefault="006C2907" w:rsidP="006C2907">
      <w:pPr>
        <w:pStyle w:val="ListParagraph"/>
        <w:numPr>
          <w:ilvl w:val="0"/>
          <w:numId w:val="5"/>
        </w:numPr>
        <w:rPr>
          <w:rFonts w:ascii="Arial" w:eastAsiaTheme="minorHAnsi" w:hAnsi="Arial" w:cs="Arial"/>
          <w:sz w:val="22"/>
          <w:szCs w:val="22"/>
        </w:rPr>
      </w:pPr>
      <w:r>
        <w:rPr>
          <w:rFonts w:ascii="Arial" w:eastAsiaTheme="minorHAnsi" w:hAnsi="Arial" w:cs="Arial"/>
          <w:sz w:val="22"/>
          <w:szCs w:val="22"/>
        </w:rPr>
        <w:t>The injured employee may be subjected to deleterious or unnecessary medical services contrary to Labor Code section 4600.  Labor Code section</w:t>
      </w:r>
      <w:r w:rsidR="00D705C8">
        <w:rPr>
          <w:rFonts w:ascii="Arial" w:eastAsiaTheme="minorHAnsi" w:hAnsi="Arial" w:cs="Arial"/>
          <w:sz w:val="22"/>
          <w:szCs w:val="22"/>
        </w:rPr>
        <w:t>s</w:t>
      </w:r>
      <w:r>
        <w:rPr>
          <w:rFonts w:ascii="Arial" w:eastAsiaTheme="minorHAnsi" w:hAnsi="Arial" w:cs="Arial"/>
          <w:sz w:val="22"/>
          <w:szCs w:val="22"/>
        </w:rPr>
        <w:t xml:space="preserve"> 4600(a)-(b) require medical care that is reasonably required to cure or relieve the injured worker from the effects of his or her injury, which means treatment must be in accord with evidence-based guidelines adopted by the administrative director.</w:t>
      </w:r>
    </w:p>
    <w:p w:rsidR="006C2907" w:rsidRDefault="006C2907" w:rsidP="006C2907">
      <w:pPr>
        <w:rPr>
          <w:rFonts w:ascii="Arial" w:eastAsiaTheme="minorHAnsi" w:hAnsi="Arial" w:cs="Arial"/>
          <w:sz w:val="22"/>
          <w:szCs w:val="22"/>
        </w:rPr>
      </w:pPr>
      <w:r>
        <w:rPr>
          <w:rFonts w:ascii="Arial" w:eastAsiaTheme="minorHAnsi" w:hAnsi="Arial" w:cs="Arial"/>
          <w:sz w:val="22"/>
          <w:szCs w:val="22"/>
        </w:rPr>
        <w:t>If a request is identified within five working days but does not include essential information:</w:t>
      </w:r>
    </w:p>
    <w:p w:rsidR="006C2907" w:rsidRPr="00314E06" w:rsidRDefault="006C2907" w:rsidP="006C2907">
      <w:pPr>
        <w:pStyle w:val="ListParagraph"/>
        <w:numPr>
          <w:ilvl w:val="0"/>
          <w:numId w:val="5"/>
        </w:numPr>
        <w:rPr>
          <w:rFonts w:ascii="Arial" w:eastAsiaTheme="minorHAnsi" w:hAnsi="Arial" w:cs="Arial"/>
          <w:sz w:val="22"/>
          <w:szCs w:val="22"/>
        </w:rPr>
      </w:pPr>
      <w:r>
        <w:rPr>
          <w:rFonts w:ascii="Arial" w:eastAsiaTheme="minorHAnsi" w:hAnsi="Arial" w:cs="Arial"/>
          <w:sz w:val="22"/>
          <w:szCs w:val="22"/>
        </w:rPr>
        <w:t xml:space="preserve">Treatment for the injured employee will be delayed because </w:t>
      </w:r>
      <w:r w:rsidRPr="00314E06">
        <w:rPr>
          <w:rFonts w:ascii="Arial" w:eastAsiaTheme="minorHAnsi" w:hAnsi="Arial" w:cs="Arial"/>
          <w:sz w:val="22"/>
          <w:szCs w:val="22"/>
        </w:rPr>
        <w:t xml:space="preserve">the claims administrator must spend time and resources rejecting the request as incomplete </w:t>
      </w:r>
      <w:r>
        <w:rPr>
          <w:rFonts w:ascii="Arial" w:eastAsiaTheme="minorHAnsi" w:hAnsi="Arial" w:cs="Arial"/>
          <w:sz w:val="22"/>
          <w:szCs w:val="22"/>
        </w:rPr>
        <w:t xml:space="preserve">and </w:t>
      </w:r>
      <w:r w:rsidRPr="00314E06">
        <w:rPr>
          <w:rFonts w:ascii="Arial" w:eastAsiaTheme="minorHAnsi" w:hAnsi="Arial" w:cs="Arial"/>
          <w:sz w:val="22"/>
          <w:szCs w:val="22"/>
        </w:rPr>
        <w:t>listing every necessary element</w:t>
      </w:r>
      <w:r>
        <w:rPr>
          <w:rFonts w:ascii="Arial" w:eastAsiaTheme="minorHAnsi" w:hAnsi="Arial" w:cs="Arial"/>
          <w:sz w:val="22"/>
          <w:szCs w:val="22"/>
        </w:rPr>
        <w:t>.</w:t>
      </w:r>
      <w:r w:rsidRPr="00314E06">
        <w:rPr>
          <w:rFonts w:ascii="Arial" w:eastAsiaTheme="minorHAnsi" w:hAnsi="Arial" w:cs="Arial"/>
          <w:sz w:val="22"/>
          <w:szCs w:val="22"/>
        </w:rPr>
        <w:t xml:space="preserve">  </w:t>
      </w:r>
    </w:p>
    <w:p w:rsidR="006C2907" w:rsidRDefault="006C2907" w:rsidP="006C2907">
      <w:pPr>
        <w:rPr>
          <w:rFonts w:ascii="Arial" w:eastAsia="Calibri" w:hAnsi="Arial" w:cs="Arial"/>
          <w:color w:val="auto"/>
          <w:sz w:val="22"/>
          <w:szCs w:val="22"/>
        </w:rPr>
      </w:pPr>
      <w:r>
        <w:rPr>
          <w:rFonts w:ascii="Arial" w:eastAsiaTheme="minorHAnsi" w:hAnsi="Arial" w:cs="Arial"/>
          <w:color w:val="auto"/>
          <w:sz w:val="22"/>
          <w:szCs w:val="22"/>
        </w:rPr>
        <w:t xml:space="preserve">   </w:t>
      </w:r>
    </w:p>
    <w:p w:rsidR="00702C90" w:rsidRDefault="003526BC" w:rsidP="00355DCD">
      <w:pPr>
        <w:rPr>
          <w:rFonts w:ascii="Arial" w:eastAsiaTheme="minorHAnsi" w:hAnsi="Arial" w:cs="Arial"/>
          <w:color w:val="auto"/>
          <w:sz w:val="22"/>
          <w:szCs w:val="22"/>
        </w:rPr>
      </w:pPr>
      <w:r>
        <w:rPr>
          <w:rFonts w:ascii="Arial" w:eastAsiaTheme="minorHAnsi" w:hAnsi="Arial" w:cs="Arial"/>
          <w:color w:val="auto"/>
          <w:sz w:val="22"/>
          <w:szCs w:val="22"/>
        </w:rPr>
        <w:t xml:space="preserve">In these instances, </w:t>
      </w:r>
      <w:r w:rsidR="00FB0F82">
        <w:rPr>
          <w:rFonts w:ascii="Arial" w:eastAsiaTheme="minorHAnsi" w:hAnsi="Arial" w:cs="Arial"/>
          <w:color w:val="auto"/>
          <w:sz w:val="22"/>
          <w:szCs w:val="22"/>
        </w:rPr>
        <w:t xml:space="preserve">both injured employees and </w:t>
      </w:r>
      <w:r>
        <w:rPr>
          <w:rFonts w:ascii="Arial" w:eastAsiaTheme="minorHAnsi" w:hAnsi="Arial" w:cs="Arial"/>
          <w:color w:val="auto"/>
          <w:sz w:val="22"/>
          <w:szCs w:val="22"/>
        </w:rPr>
        <w:t>claims administrators</w:t>
      </w:r>
      <w:r w:rsidR="00F27ACF">
        <w:rPr>
          <w:rFonts w:ascii="Arial" w:eastAsiaTheme="minorHAnsi" w:hAnsi="Arial" w:cs="Arial"/>
          <w:color w:val="auto"/>
          <w:sz w:val="22"/>
          <w:szCs w:val="22"/>
        </w:rPr>
        <w:t>, and ultimately employers as well</w:t>
      </w:r>
      <w:r w:rsidR="00B2135B">
        <w:rPr>
          <w:rFonts w:ascii="Arial" w:eastAsiaTheme="minorHAnsi" w:hAnsi="Arial" w:cs="Arial"/>
          <w:color w:val="auto"/>
          <w:sz w:val="22"/>
          <w:szCs w:val="22"/>
        </w:rPr>
        <w:t>,</w:t>
      </w:r>
      <w:r>
        <w:rPr>
          <w:rFonts w:ascii="Arial" w:eastAsiaTheme="minorHAnsi" w:hAnsi="Arial" w:cs="Arial"/>
          <w:color w:val="auto"/>
          <w:sz w:val="22"/>
          <w:szCs w:val="22"/>
        </w:rPr>
        <w:t xml:space="preserve"> will be penalized for the omissions of </w:t>
      </w:r>
      <w:r w:rsidR="00AF60F3">
        <w:rPr>
          <w:rFonts w:ascii="Arial" w:eastAsiaTheme="minorHAnsi" w:hAnsi="Arial" w:cs="Arial"/>
          <w:color w:val="auto"/>
          <w:sz w:val="22"/>
          <w:szCs w:val="22"/>
        </w:rPr>
        <w:t xml:space="preserve">requesting </w:t>
      </w:r>
      <w:r>
        <w:rPr>
          <w:rFonts w:ascii="Arial" w:eastAsiaTheme="minorHAnsi" w:hAnsi="Arial" w:cs="Arial"/>
          <w:color w:val="auto"/>
          <w:sz w:val="22"/>
          <w:szCs w:val="22"/>
        </w:rPr>
        <w:t xml:space="preserve">physicians.  </w:t>
      </w:r>
      <w:r w:rsidR="003A6E97">
        <w:rPr>
          <w:rFonts w:ascii="Arial" w:eastAsiaTheme="minorHAnsi" w:hAnsi="Arial" w:cs="Arial"/>
          <w:color w:val="auto"/>
          <w:sz w:val="22"/>
          <w:szCs w:val="22"/>
        </w:rPr>
        <w:t>The responsibilities</w:t>
      </w:r>
      <w:r w:rsidR="00A224A7">
        <w:rPr>
          <w:rFonts w:ascii="Arial" w:eastAsiaTheme="minorHAnsi" w:hAnsi="Arial" w:cs="Arial"/>
          <w:color w:val="auto"/>
          <w:sz w:val="22"/>
          <w:szCs w:val="22"/>
        </w:rPr>
        <w:t xml:space="preserve"> </w:t>
      </w:r>
      <w:r w:rsidR="003A6E97">
        <w:rPr>
          <w:rFonts w:ascii="Arial" w:eastAsiaTheme="minorHAnsi" w:hAnsi="Arial" w:cs="Arial"/>
          <w:color w:val="auto"/>
          <w:sz w:val="22"/>
          <w:szCs w:val="22"/>
        </w:rPr>
        <w:t>of the primary treating physician and secondary physicians are described in CCR section 9785</w:t>
      </w:r>
      <w:r w:rsidR="00E8269E">
        <w:rPr>
          <w:rFonts w:ascii="Arial" w:eastAsiaTheme="minorHAnsi" w:hAnsi="Arial" w:cs="Arial"/>
          <w:color w:val="auto"/>
          <w:sz w:val="22"/>
          <w:szCs w:val="22"/>
        </w:rPr>
        <w:t xml:space="preserve"> and should be followed</w:t>
      </w:r>
      <w:r w:rsidR="003A6E97">
        <w:rPr>
          <w:rFonts w:ascii="Arial" w:eastAsiaTheme="minorHAnsi" w:hAnsi="Arial" w:cs="Arial"/>
          <w:color w:val="auto"/>
          <w:sz w:val="22"/>
          <w:szCs w:val="22"/>
        </w:rPr>
        <w:t xml:space="preserve">.  </w:t>
      </w:r>
      <w:r w:rsidR="00AF60F3">
        <w:rPr>
          <w:rFonts w:ascii="Arial" w:eastAsiaTheme="minorHAnsi" w:hAnsi="Arial" w:cs="Arial"/>
          <w:color w:val="auto"/>
          <w:sz w:val="22"/>
          <w:szCs w:val="22"/>
        </w:rPr>
        <w:t xml:space="preserve">Claims administrators </w:t>
      </w:r>
      <w:r w:rsidR="00E8269E">
        <w:rPr>
          <w:rFonts w:ascii="Arial" w:eastAsiaTheme="minorHAnsi" w:hAnsi="Arial" w:cs="Arial"/>
          <w:color w:val="auto"/>
          <w:sz w:val="22"/>
          <w:szCs w:val="22"/>
        </w:rPr>
        <w:t xml:space="preserve">send primary treating physicians a written copy of these responsibilities, and </w:t>
      </w:r>
      <w:r w:rsidR="00AF60F3">
        <w:rPr>
          <w:rFonts w:ascii="Arial" w:eastAsiaTheme="minorHAnsi" w:hAnsi="Arial" w:cs="Arial"/>
          <w:color w:val="auto"/>
          <w:sz w:val="22"/>
          <w:szCs w:val="22"/>
        </w:rPr>
        <w:t xml:space="preserve">have </w:t>
      </w:r>
      <w:r w:rsidR="00C4459F">
        <w:rPr>
          <w:rFonts w:ascii="Arial" w:eastAsiaTheme="minorHAnsi" w:hAnsi="Arial" w:cs="Arial"/>
          <w:color w:val="auto"/>
          <w:sz w:val="22"/>
          <w:szCs w:val="22"/>
        </w:rPr>
        <w:t xml:space="preserve">generally been </w:t>
      </w:r>
      <w:r w:rsidR="00C4459F">
        <w:rPr>
          <w:rFonts w:ascii="Arial" w:eastAsiaTheme="minorHAnsi" w:hAnsi="Arial" w:cs="Arial"/>
          <w:color w:val="auto"/>
          <w:sz w:val="22"/>
          <w:szCs w:val="22"/>
        </w:rPr>
        <w:lastRenderedPageBreak/>
        <w:t>willing t</w:t>
      </w:r>
      <w:r w:rsidR="00AF60F3">
        <w:rPr>
          <w:rFonts w:ascii="Arial" w:eastAsiaTheme="minorHAnsi" w:hAnsi="Arial" w:cs="Arial"/>
          <w:color w:val="auto"/>
          <w:sz w:val="22"/>
          <w:szCs w:val="22"/>
        </w:rPr>
        <w:t>o</w:t>
      </w:r>
      <w:r w:rsidR="00C4459F">
        <w:rPr>
          <w:rFonts w:ascii="Arial" w:eastAsiaTheme="minorHAnsi" w:hAnsi="Arial" w:cs="Arial"/>
          <w:color w:val="auto"/>
          <w:sz w:val="22"/>
          <w:szCs w:val="22"/>
        </w:rPr>
        <w:t xml:space="preserve"> assist and guide well-meaning physicians who are new to workers</w:t>
      </w:r>
      <w:r w:rsidR="00D705C8">
        <w:rPr>
          <w:rFonts w:ascii="Arial" w:eastAsiaTheme="minorHAnsi" w:hAnsi="Arial" w:cs="Arial"/>
          <w:color w:val="auto"/>
          <w:sz w:val="22"/>
          <w:szCs w:val="22"/>
        </w:rPr>
        <w:t>’</w:t>
      </w:r>
      <w:r w:rsidR="00C4459F">
        <w:rPr>
          <w:rFonts w:ascii="Arial" w:eastAsiaTheme="minorHAnsi" w:hAnsi="Arial" w:cs="Arial"/>
          <w:color w:val="auto"/>
          <w:sz w:val="22"/>
          <w:szCs w:val="22"/>
        </w:rPr>
        <w:t xml:space="preserve"> comp with </w:t>
      </w:r>
    </w:p>
    <w:p w:rsidR="00A224A7" w:rsidRDefault="00C4459F" w:rsidP="00355DCD">
      <w:pPr>
        <w:rPr>
          <w:rFonts w:ascii="Arial" w:eastAsiaTheme="minorHAnsi" w:hAnsi="Arial" w:cs="Arial"/>
          <w:color w:val="auto"/>
          <w:sz w:val="22"/>
          <w:szCs w:val="22"/>
        </w:rPr>
      </w:pPr>
      <w:r>
        <w:rPr>
          <w:rFonts w:ascii="Arial" w:eastAsiaTheme="minorHAnsi" w:hAnsi="Arial" w:cs="Arial"/>
          <w:color w:val="auto"/>
          <w:sz w:val="22"/>
          <w:szCs w:val="22"/>
        </w:rPr>
        <w:t xml:space="preserve">their requests, </w:t>
      </w:r>
      <w:r w:rsidR="006B1879">
        <w:rPr>
          <w:rFonts w:ascii="Arial" w:eastAsiaTheme="minorHAnsi" w:hAnsi="Arial" w:cs="Arial"/>
          <w:color w:val="auto"/>
          <w:sz w:val="22"/>
          <w:szCs w:val="22"/>
        </w:rPr>
        <w:t>thereby facilitating timely medical care</w:t>
      </w:r>
      <w:r w:rsidR="00B5478E">
        <w:rPr>
          <w:rFonts w:ascii="Arial" w:eastAsiaTheme="minorHAnsi" w:hAnsi="Arial" w:cs="Arial"/>
          <w:color w:val="auto"/>
          <w:sz w:val="22"/>
          <w:szCs w:val="22"/>
        </w:rPr>
        <w:t xml:space="preserve"> for injured employees</w:t>
      </w:r>
      <w:r w:rsidR="008E571F">
        <w:rPr>
          <w:rFonts w:ascii="Arial" w:eastAsiaTheme="minorHAnsi" w:hAnsi="Arial" w:cs="Arial"/>
          <w:color w:val="auto"/>
          <w:sz w:val="22"/>
          <w:szCs w:val="22"/>
        </w:rPr>
        <w:t>.  B</w:t>
      </w:r>
      <w:r>
        <w:rPr>
          <w:rFonts w:ascii="Arial" w:eastAsiaTheme="minorHAnsi" w:hAnsi="Arial" w:cs="Arial"/>
          <w:color w:val="auto"/>
          <w:sz w:val="22"/>
          <w:szCs w:val="22"/>
        </w:rPr>
        <w:t xml:space="preserve">ut </w:t>
      </w:r>
      <w:r w:rsidR="008E571F">
        <w:rPr>
          <w:rFonts w:ascii="Arial" w:eastAsiaTheme="minorHAnsi" w:hAnsi="Arial" w:cs="Arial"/>
          <w:color w:val="auto"/>
          <w:sz w:val="22"/>
          <w:szCs w:val="22"/>
        </w:rPr>
        <w:t>enabling</w:t>
      </w:r>
      <w:r>
        <w:rPr>
          <w:rFonts w:ascii="Arial" w:eastAsiaTheme="minorHAnsi" w:hAnsi="Arial" w:cs="Arial"/>
          <w:color w:val="auto"/>
          <w:sz w:val="22"/>
          <w:szCs w:val="22"/>
        </w:rPr>
        <w:t xml:space="preserve"> deficient reports by regulation</w:t>
      </w:r>
      <w:r w:rsidR="006B1879">
        <w:rPr>
          <w:rFonts w:ascii="Arial" w:eastAsiaTheme="minorHAnsi" w:hAnsi="Arial" w:cs="Arial"/>
          <w:color w:val="auto"/>
          <w:sz w:val="22"/>
          <w:szCs w:val="22"/>
        </w:rPr>
        <w:t>, penalizing claims administrators</w:t>
      </w:r>
      <w:r w:rsidR="00A224A7">
        <w:rPr>
          <w:rFonts w:ascii="Arial" w:eastAsiaTheme="minorHAnsi" w:hAnsi="Arial" w:cs="Arial"/>
          <w:color w:val="auto"/>
          <w:sz w:val="22"/>
          <w:szCs w:val="22"/>
        </w:rPr>
        <w:t xml:space="preserve"> </w:t>
      </w:r>
      <w:r w:rsidR="006B1879">
        <w:rPr>
          <w:rFonts w:ascii="Arial" w:eastAsiaTheme="minorHAnsi" w:hAnsi="Arial" w:cs="Arial"/>
          <w:color w:val="auto"/>
          <w:sz w:val="22"/>
          <w:szCs w:val="22"/>
        </w:rPr>
        <w:t>for them</w:t>
      </w:r>
      <w:r w:rsidR="00A224A7">
        <w:rPr>
          <w:rFonts w:ascii="Arial" w:eastAsiaTheme="minorHAnsi" w:hAnsi="Arial" w:cs="Arial"/>
          <w:color w:val="auto"/>
          <w:sz w:val="22"/>
          <w:szCs w:val="22"/>
        </w:rPr>
        <w:t>, and degrading and delaying medical care for injured employees</w:t>
      </w:r>
      <w:r w:rsidR="006B1879">
        <w:rPr>
          <w:rFonts w:ascii="Arial" w:eastAsiaTheme="minorHAnsi" w:hAnsi="Arial" w:cs="Arial"/>
          <w:color w:val="auto"/>
          <w:sz w:val="22"/>
          <w:szCs w:val="22"/>
        </w:rPr>
        <w:t xml:space="preserve"> is unacceptable.  </w:t>
      </w:r>
    </w:p>
    <w:p w:rsidR="00A224A7" w:rsidRDefault="00A224A7" w:rsidP="00355DCD">
      <w:pPr>
        <w:rPr>
          <w:rFonts w:ascii="Arial" w:eastAsiaTheme="minorHAnsi" w:hAnsi="Arial" w:cs="Arial"/>
          <w:color w:val="auto"/>
          <w:sz w:val="22"/>
          <w:szCs w:val="22"/>
        </w:rPr>
      </w:pPr>
    </w:p>
    <w:p w:rsidR="00355DCD" w:rsidRDefault="00A224A7" w:rsidP="006C2907">
      <w:pPr>
        <w:rPr>
          <w:rFonts w:ascii="Arial" w:eastAsiaTheme="minorHAnsi" w:hAnsi="Arial" w:cs="Arial"/>
          <w:color w:val="auto"/>
          <w:sz w:val="22"/>
          <w:szCs w:val="22"/>
        </w:rPr>
      </w:pPr>
      <w:r>
        <w:rPr>
          <w:rFonts w:ascii="Arial" w:eastAsiaTheme="minorHAnsi" w:hAnsi="Arial" w:cs="Arial"/>
          <w:color w:val="auto"/>
          <w:sz w:val="22"/>
          <w:szCs w:val="22"/>
        </w:rPr>
        <w:t>The Institute urges the Administrative Director</w:t>
      </w:r>
      <w:r w:rsidR="007F7DF1">
        <w:rPr>
          <w:rFonts w:ascii="Arial" w:eastAsiaTheme="minorHAnsi" w:hAnsi="Arial" w:cs="Arial"/>
          <w:color w:val="auto"/>
          <w:sz w:val="22"/>
          <w:szCs w:val="22"/>
        </w:rPr>
        <w:t xml:space="preserve"> to </w:t>
      </w:r>
      <w:r w:rsidR="002B2474">
        <w:rPr>
          <w:rFonts w:ascii="Arial" w:eastAsiaTheme="minorHAnsi" w:hAnsi="Arial" w:cs="Arial"/>
          <w:color w:val="auto"/>
          <w:sz w:val="22"/>
          <w:szCs w:val="22"/>
        </w:rPr>
        <w:t>facilitate the speedy provision of the highest quality medical care by restoring the requirement to submit requests for authorization on standard forms</w:t>
      </w:r>
      <w:r w:rsidR="008E571F">
        <w:rPr>
          <w:rFonts w:ascii="Arial" w:eastAsiaTheme="minorHAnsi" w:hAnsi="Arial" w:cs="Arial"/>
          <w:color w:val="auto"/>
          <w:sz w:val="22"/>
          <w:szCs w:val="22"/>
        </w:rPr>
        <w:t>,</w:t>
      </w:r>
      <w:r w:rsidR="000E1339">
        <w:rPr>
          <w:rFonts w:ascii="Arial" w:eastAsiaTheme="minorHAnsi" w:hAnsi="Arial" w:cs="Arial"/>
          <w:color w:val="auto"/>
          <w:sz w:val="22"/>
          <w:szCs w:val="22"/>
        </w:rPr>
        <w:t xml:space="preserve"> completed with all the information necessary to determine medical necessity.  </w:t>
      </w:r>
      <w:r w:rsidR="008E571F">
        <w:rPr>
          <w:rFonts w:ascii="Arial" w:eastAsiaTheme="minorHAnsi" w:hAnsi="Arial" w:cs="Arial"/>
          <w:color w:val="auto"/>
          <w:sz w:val="22"/>
          <w:szCs w:val="22"/>
        </w:rPr>
        <w:t>If this requirement is not restored,</w:t>
      </w:r>
      <w:r w:rsidR="000F1824">
        <w:rPr>
          <w:rFonts w:ascii="Arial" w:eastAsiaTheme="minorHAnsi" w:hAnsi="Arial" w:cs="Arial"/>
          <w:color w:val="auto"/>
          <w:sz w:val="22"/>
          <w:szCs w:val="22"/>
        </w:rPr>
        <w:t xml:space="preserve"> some</w:t>
      </w:r>
      <w:r w:rsidR="008E571F">
        <w:rPr>
          <w:rFonts w:ascii="Arial" w:eastAsiaTheme="minorHAnsi" w:hAnsi="Arial" w:cs="Arial"/>
          <w:color w:val="auto"/>
          <w:sz w:val="22"/>
          <w:szCs w:val="22"/>
        </w:rPr>
        <w:t xml:space="preserve"> i</w:t>
      </w:r>
      <w:r w:rsidR="00FB0F82">
        <w:rPr>
          <w:rFonts w:ascii="Arial" w:eastAsiaTheme="minorHAnsi" w:hAnsi="Arial" w:cs="Arial"/>
          <w:color w:val="auto"/>
          <w:sz w:val="22"/>
          <w:szCs w:val="22"/>
        </w:rPr>
        <w:t xml:space="preserve">njured employees will be victimized by deleterious and unnecessary </w:t>
      </w:r>
      <w:r w:rsidR="00F27ACF">
        <w:rPr>
          <w:rFonts w:ascii="Arial" w:eastAsiaTheme="minorHAnsi" w:hAnsi="Arial" w:cs="Arial"/>
          <w:color w:val="auto"/>
          <w:sz w:val="22"/>
          <w:szCs w:val="22"/>
        </w:rPr>
        <w:t xml:space="preserve">care and </w:t>
      </w:r>
      <w:r w:rsidR="006214B1">
        <w:rPr>
          <w:rFonts w:ascii="Arial" w:eastAsiaTheme="minorHAnsi" w:hAnsi="Arial" w:cs="Arial"/>
          <w:color w:val="auto"/>
          <w:sz w:val="22"/>
          <w:szCs w:val="22"/>
        </w:rPr>
        <w:t xml:space="preserve">by </w:t>
      </w:r>
      <w:r w:rsidR="00F27ACF">
        <w:rPr>
          <w:rFonts w:ascii="Arial" w:eastAsiaTheme="minorHAnsi" w:hAnsi="Arial" w:cs="Arial"/>
          <w:color w:val="auto"/>
          <w:sz w:val="22"/>
          <w:szCs w:val="22"/>
        </w:rPr>
        <w:t>treatment delays</w:t>
      </w:r>
      <w:r w:rsidR="006214B1">
        <w:rPr>
          <w:rFonts w:ascii="Arial" w:eastAsiaTheme="minorHAnsi" w:hAnsi="Arial" w:cs="Arial"/>
          <w:color w:val="auto"/>
          <w:sz w:val="22"/>
          <w:szCs w:val="22"/>
        </w:rPr>
        <w:t>;</w:t>
      </w:r>
      <w:r w:rsidR="00F27ACF">
        <w:rPr>
          <w:rFonts w:ascii="Arial" w:eastAsiaTheme="minorHAnsi" w:hAnsi="Arial" w:cs="Arial"/>
          <w:color w:val="auto"/>
          <w:sz w:val="22"/>
          <w:szCs w:val="22"/>
        </w:rPr>
        <w:t xml:space="preserve"> </w:t>
      </w:r>
      <w:r w:rsidR="00FB0F82">
        <w:rPr>
          <w:rFonts w:ascii="Arial" w:eastAsiaTheme="minorHAnsi" w:hAnsi="Arial" w:cs="Arial"/>
          <w:color w:val="auto"/>
          <w:sz w:val="22"/>
          <w:szCs w:val="22"/>
        </w:rPr>
        <w:t xml:space="preserve">claims administrators </w:t>
      </w:r>
      <w:r w:rsidR="00D705C8">
        <w:rPr>
          <w:rFonts w:ascii="Arial" w:eastAsiaTheme="minorHAnsi" w:hAnsi="Arial" w:cs="Arial"/>
          <w:color w:val="auto"/>
          <w:sz w:val="22"/>
          <w:szCs w:val="22"/>
        </w:rPr>
        <w:t xml:space="preserve">will be subjected to </w:t>
      </w:r>
      <w:r w:rsidR="000F1824">
        <w:rPr>
          <w:rFonts w:ascii="Arial" w:eastAsiaTheme="minorHAnsi" w:hAnsi="Arial" w:cs="Arial"/>
          <w:color w:val="auto"/>
          <w:sz w:val="22"/>
          <w:szCs w:val="22"/>
        </w:rPr>
        <w:t xml:space="preserve">unjustified </w:t>
      </w:r>
      <w:r w:rsidR="00F27ACF">
        <w:rPr>
          <w:rFonts w:ascii="Arial" w:eastAsiaTheme="minorHAnsi" w:hAnsi="Arial" w:cs="Arial"/>
          <w:color w:val="auto"/>
          <w:sz w:val="22"/>
          <w:szCs w:val="22"/>
        </w:rPr>
        <w:t>penalties</w:t>
      </w:r>
      <w:r w:rsidR="006214B1">
        <w:rPr>
          <w:rFonts w:ascii="Arial" w:eastAsiaTheme="minorHAnsi" w:hAnsi="Arial" w:cs="Arial"/>
          <w:color w:val="auto"/>
          <w:sz w:val="22"/>
          <w:szCs w:val="22"/>
        </w:rPr>
        <w:t>, disputes</w:t>
      </w:r>
      <w:r w:rsidR="00B5478E">
        <w:rPr>
          <w:rFonts w:ascii="Arial" w:eastAsiaTheme="minorHAnsi" w:hAnsi="Arial" w:cs="Arial"/>
          <w:color w:val="auto"/>
          <w:sz w:val="22"/>
          <w:szCs w:val="22"/>
        </w:rPr>
        <w:t>,</w:t>
      </w:r>
      <w:r w:rsidR="00F27ACF">
        <w:rPr>
          <w:rFonts w:ascii="Arial" w:eastAsiaTheme="minorHAnsi" w:hAnsi="Arial" w:cs="Arial"/>
          <w:color w:val="auto"/>
          <w:sz w:val="22"/>
          <w:szCs w:val="22"/>
        </w:rPr>
        <w:t xml:space="preserve"> and unnecessary administrative expenses</w:t>
      </w:r>
      <w:r w:rsidR="006214B1">
        <w:rPr>
          <w:rFonts w:ascii="Arial" w:eastAsiaTheme="minorHAnsi" w:hAnsi="Arial" w:cs="Arial"/>
          <w:color w:val="auto"/>
          <w:sz w:val="22"/>
          <w:szCs w:val="22"/>
        </w:rPr>
        <w:t>;</w:t>
      </w:r>
      <w:r w:rsidR="00B2135B">
        <w:rPr>
          <w:rFonts w:ascii="Arial" w:eastAsiaTheme="minorHAnsi" w:hAnsi="Arial" w:cs="Arial"/>
          <w:color w:val="auto"/>
          <w:sz w:val="22"/>
          <w:szCs w:val="22"/>
        </w:rPr>
        <w:t xml:space="preserve"> and employers </w:t>
      </w:r>
      <w:r w:rsidR="00D13326">
        <w:rPr>
          <w:rFonts w:ascii="Arial" w:eastAsiaTheme="minorHAnsi" w:hAnsi="Arial" w:cs="Arial"/>
          <w:color w:val="auto"/>
          <w:sz w:val="22"/>
          <w:szCs w:val="22"/>
        </w:rPr>
        <w:t xml:space="preserve">will incur </w:t>
      </w:r>
      <w:r w:rsidR="00B2135B">
        <w:rPr>
          <w:rFonts w:ascii="Arial" w:eastAsiaTheme="minorHAnsi" w:hAnsi="Arial" w:cs="Arial"/>
          <w:color w:val="auto"/>
          <w:sz w:val="22"/>
          <w:szCs w:val="22"/>
        </w:rPr>
        <w:t xml:space="preserve">the </w:t>
      </w:r>
      <w:r w:rsidR="006214B1">
        <w:rPr>
          <w:rFonts w:ascii="Arial" w:eastAsiaTheme="minorHAnsi" w:hAnsi="Arial" w:cs="Arial"/>
          <w:color w:val="auto"/>
          <w:sz w:val="22"/>
          <w:szCs w:val="22"/>
        </w:rPr>
        <w:t xml:space="preserve">resulting </w:t>
      </w:r>
      <w:r w:rsidR="00B2135B">
        <w:rPr>
          <w:rFonts w:ascii="Arial" w:eastAsiaTheme="minorHAnsi" w:hAnsi="Arial" w:cs="Arial"/>
          <w:color w:val="auto"/>
          <w:sz w:val="22"/>
          <w:szCs w:val="22"/>
        </w:rPr>
        <w:t xml:space="preserve">additional costs and expenses. </w:t>
      </w:r>
    </w:p>
    <w:p w:rsidR="000F1824" w:rsidRDefault="000F1824" w:rsidP="006C2907">
      <w:pPr>
        <w:rPr>
          <w:rFonts w:ascii="Arial" w:eastAsiaTheme="minorHAnsi" w:hAnsi="Arial" w:cs="Arial"/>
          <w:color w:val="auto"/>
          <w:sz w:val="22"/>
          <w:szCs w:val="22"/>
        </w:rPr>
      </w:pPr>
    </w:p>
    <w:p w:rsidR="000F1824" w:rsidRPr="000F1824" w:rsidRDefault="000F1824" w:rsidP="006C2907">
      <w:pPr>
        <w:rPr>
          <w:rFonts w:ascii="Arial" w:eastAsia="Calibri" w:hAnsi="Arial" w:cs="Arial"/>
          <w:b/>
          <w:color w:val="auto"/>
          <w:sz w:val="22"/>
          <w:szCs w:val="22"/>
        </w:rPr>
      </w:pPr>
      <w:r>
        <w:rPr>
          <w:rFonts w:ascii="Arial" w:eastAsiaTheme="minorHAnsi" w:hAnsi="Arial" w:cs="Arial"/>
          <w:b/>
          <w:color w:val="auto"/>
          <w:sz w:val="22"/>
          <w:szCs w:val="22"/>
        </w:rPr>
        <w:t>Review of IMR Applications</w:t>
      </w:r>
    </w:p>
    <w:p w:rsidR="00355DCD" w:rsidRPr="00CE11AE" w:rsidRDefault="00355DCD" w:rsidP="00355DCD">
      <w:pPr>
        <w:rPr>
          <w:rFonts w:ascii="Arial" w:eastAsia="Calibri" w:hAnsi="Arial" w:cs="Arial"/>
          <w:color w:val="auto"/>
          <w:sz w:val="22"/>
          <w:szCs w:val="22"/>
        </w:rPr>
      </w:pPr>
    </w:p>
    <w:p w:rsidR="003E763C" w:rsidRPr="00CE11AE" w:rsidRDefault="003E763C" w:rsidP="003E763C">
      <w:pPr>
        <w:rPr>
          <w:rFonts w:ascii="Arial" w:eastAsiaTheme="minorHAnsi" w:hAnsi="Arial" w:cs="Arial"/>
          <w:color w:val="auto"/>
          <w:sz w:val="22"/>
          <w:szCs w:val="22"/>
        </w:rPr>
      </w:pPr>
      <w:r w:rsidRPr="00BA2674">
        <w:rPr>
          <w:rFonts w:ascii="Arial" w:eastAsia="Calibri" w:hAnsi="Arial" w:cs="Arial"/>
          <w:color w:val="auto"/>
          <w:sz w:val="22"/>
          <w:szCs w:val="22"/>
        </w:rPr>
        <w:t>The IMR application form initiates the IMR process and must be reviewed for eligibility</w:t>
      </w:r>
      <w:r>
        <w:rPr>
          <w:rFonts w:ascii="Arial" w:eastAsia="Calibri" w:hAnsi="Arial" w:cs="Arial"/>
          <w:color w:val="auto"/>
          <w:sz w:val="22"/>
          <w:szCs w:val="22"/>
        </w:rPr>
        <w:t xml:space="preserve"> </w:t>
      </w:r>
      <w:r w:rsidRPr="00CE11AE">
        <w:rPr>
          <w:rFonts w:ascii="Arial" w:eastAsia="Calibri" w:hAnsi="Arial" w:cs="Arial"/>
          <w:color w:val="auto"/>
          <w:sz w:val="22"/>
          <w:szCs w:val="22"/>
        </w:rPr>
        <w:t xml:space="preserve">by the </w:t>
      </w:r>
      <w:r>
        <w:rPr>
          <w:rFonts w:ascii="Arial" w:eastAsia="Calibri" w:hAnsi="Arial" w:cs="Arial"/>
          <w:color w:val="auto"/>
          <w:sz w:val="22"/>
          <w:szCs w:val="22"/>
        </w:rPr>
        <w:t>Administrative Director or her</w:t>
      </w:r>
      <w:r w:rsidRPr="00CE11AE">
        <w:rPr>
          <w:rFonts w:ascii="Arial" w:eastAsia="Calibri" w:hAnsi="Arial" w:cs="Arial"/>
          <w:color w:val="auto"/>
          <w:sz w:val="22"/>
          <w:szCs w:val="22"/>
        </w:rPr>
        <w:t xml:space="preserve"> impartial, disinterested </w:t>
      </w:r>
      <w:r>
        <w:rPr>
          <w:rFonts w:ascii="Arial" w:eastAsia="Calibri" w:hAnsi="Arial" w:cs="Arial"/>
          <w:color w:val="auto"/>
          <w:sz w:val="22"/>
          <w:szCs w:val="22"/>
        </w:rPr>
        <w:t xml:space="preserve">designee </w:t>
      </w:r>
      <w:r w:rsidRPr="00CE11AE">
        <w:rPr>
          <w:rFonts w:ascii="Arial" w:eastAsia="Calibri" w:hAnsi="Arial" w:cs="Arial"/>
          <w:color w:val="auto"/>
          <w:sz w:val="22"/>
          <w:szCs w:val="22"/>
        </w:rPr>
        <w:t xml:space="preserve">before being </w:t>
      </w:r>
      <w:r>
        <w:rPr>
          <w:rFonts w:ascii="Arial" w:eastAsia="Calibri" w:hAnsi="Arial" w:cs="Arial"/>
          <w:color w:val="auto"/>
          <w:sz w:val="22"/>
          <w:szCs w:val="22"/>
        </w:rPr>
        <w:t>assigned</w:t>
      </w:r>
      <w:r w:rsidRPr="00CE11AE">
        <w:rPr>
          <w:rFonts w:ascii="Arial" w:eastAsia="Calibri" w:hAnsi="Arial" w:cs="Arial"/>
          <w:color w:val="auto"/>
          <w:sz w:val="22"/>
          <w:szCs w:val="22"/>
        </w:rPr>
        <w:t xml:space="preserve"> to the IMR contractor, wh</w:t>
      </w:r>
      <w:r>
        <w:rPr>
          <w:rFonts w:ascii="Arial" w:eastAsia="Calibri" w:hAnsi="Arial" w:cs="Arial"/>
          <w:color w:val="auto"/>
          <w:sz w:val="22"/>
          <w:szCs w:val="22"/>
        </w:rPr>
        <w:t>ich</w:t>
      </w:r>
      <w:r w:rsidRPr="00CE11AE">
        <w:rPr>
          <w:rFonts w:ascii="Arial" w:eastAsia="Calibri" w:hAnsi="Arial" w:cs="Arial"/>
          <w:color w:val="auto"/>
          <w:sz w:val="22"/>
          <w:szCs w:val="22"/>
        </w:rPr>
        <w:t xml:space="preserve"> has a clear financial interest in the review.</w:t>
      </w:r>
      <w:r w:rsidRPr="00CE11AE">
        <w:rPr>
          <w:rFonts w:ascii="Arial" w:eastAsia="Calibri" w:hAnsi="Arial" w:cs="Arial"/>
          <w:color w:val="auto"/>
          <w:sz w:val="22"/>
          <w:szCs w:val="22"/>
          <w:shd w:val="clear" w:color="auto" w:fill="FFFFFF"/>
        </w:rPr>
        <w:t xml:space="preserve">  </w:t>
      </w:r>
      <w:r w:rsidR="00BA2674">
        <w:rPr>
          <w:rFonts w:ascii="Arial" w:eastAsia="Calibri" w:hAnsi="Arial" w:cs="Arial"/>
          <w:color w:val="auto"/>
          <w:sz w:val="22"/>
          <w:szCs w:val="22"/>
          <w:shd w:val="clear" w:color="auto" w:fill="FFFFFF"/>
        </w:rPr>
        <w:t xml:space="preserve">The statutory reference to “designee” must be read to mean a designee within the Division, </w:t>
      </w:r>
      <w:r w:rsidR="00B76A9A">
        <w:rPr>
          <w:rFonts w:ascii="Arial" w:eastAsia="Calibri" w:hAnsi="Arial" w:cs="Arial"/>
          <w:color w:val="auto"/>
          <w:sz w:val="22"/>
          <w:szCs w:val="22"/>
          <w:shd w:val="clear" w:color="auto" w:fill="FFFFFF"/>
        </w:rPr>
        <w:t xml:space="preserve">or a DIR employee; someone qualified to review the applications.  </w:t>
      </w:r>
      <w:r w:rsidR="00FE03DE" w:rsidRPr="00FE03DE">
        <w:rPr>
          <w:rFonts w:ascii="Arial" w:eastAsia="Calibri" w:hAnsi="Arial" w:cs="Arial"/>
          <w:color w:val="auto"/>
          <w:sz w:val="22"/>
          <w:szCs w:val="22"/>
          <w:shd w:val="clear" w:color="auto" w:fill="FFFFFF"/>
        </w:rPr>
        <w:t xml:space="preserve">Doing so will also help </w:t>
      </w:r>
      <w:r w:rsidR="002F3025">
        <w:rPr>
          <w:rFonts w:ascii="Arial" w:eastAsia="Calibri" w:hAnsi="Arial" w:cs="Arial"/>
          <w:color w:val="auto"/>
          <w:sz w:val="22"/>
          <w:szCs w:val="22"/>
          <w:shd w:val="clear" w:color="auto" w:fill="FFFFFF"/>
        </w:rPr>
        <w:t>reduce</w:t>
      </w:r>
      <w:r w:rsidR="00FE03DE" w:rsidRPr="00FE03DE">
        <w:rPr>
          <w:rFonts w:ascii="Arial" w:eastAsia="Calibri" w:hAnsi="Arial" w:cs="Arial"/>
          <w:color w:val="auto"/>
          <w:sz w:val="22"/>
          <w:szCs w:val="22"/>
          <w:shd w:val="clear" w:color="auto" w:fill="FFFFFF"/>
        </w:rPr>
        <w:t xml:space="preserve"> the large backlog of</w:t>
      </w:r>
      <w:r w:rsidR="00FE03DE">
        <w:rPr>
          <w:rFonts w:ascii="Arial" w:eastAsia="Calibri" w:hAnsi="Arial" w:cs="Arial"/>
          <w:color w:val="auto"/>
          <w:sz w:val="22"/>
          <w:szCs w:val="22"/>
          <w:shd w:val="clear" w:color="auto" w:fill="FFFFFF"/>
        </w:rPr>
        <w:t xml:space="preserve"> pending</w:t>
      </w:r>
      <w:r w:rsidR="00FE03DE" w:rsidRPr="00FE03DE">
        <w:rPr>
          <w:rFonts w:ascii="Arial" w:eastAsia="Calibri" w:hAnsi="Arial" w:cs="Arial"/>
          <w:color w:val="auto"/>
          <w:sz w:val="22"/>
          <w:szCs w:val="22"/>
          <w:shd w:val="clear" w:color="auto" w:fill="FFFFFF"/>
        </w:rPr>
        <w:t xml:space="preserve"> independent medical reviews.</w:t>
      </w:r>
      <w:r w:rsidR="00FE03DE">
        <w:rPr>
          <w:rFonts w:ascii="Arial" w:eastAsia="Calibri" w:hAnsi="Arial" w:cs="Arial"/>
          <w:color w:val="auto"/>
          <w:sz w:val="22"/>
          <w:szCs w:val="22"/>
          <w:shd w:val="clear" w:color="auto" w:fill="FFFFFF"/>
        </w:rPr>
        <w:t xml:space="preserve">  </w:t>
      </w:r>
      <w:r w:rsidRPr="00CE11AE">
        <w:rPr>
          <w:rFonts w:ascii="Arial" w:eastAsia="Calibri" w:hAnsi="Arial" w:cs="Arial"/>
          <w:color w:val="auto"/>
          <w:sz w:val="22"/>
          <w:szCs w:val="22"/>
          <w:shd w:val="clear" w:color="auto" w:fill="FFFFFF"/>
        </w:rPr>
        <w:t xml:space="preserve">A physician’s failure to properly complete the </w:t>
      </w:r>
      <w:r w:rsidR="002A391C">
        <w:rPr>
          <w:rFonts w:ascii="Arial" w:eastAsia="Calibri" w:hAnsi="Arial" w:cs="Arial"/>
          <w:color w:val="auto"/>
          <w:sz w:val="22"/>
          <w:szCs w:val="22"/>
          <w:shd w:val="clear" w:color="auto" w:fill="FFFFFF"/>
        </w:rPr>
        <w:t>Utilization Review (</w:t>
      </w:r>
      <w:r w:rsidRPr="00CE11AE">
        <w:rPr>
          <w:rFonts w:ascii="Arial" w:eastAsia="Calibri" w:hAnsi="Arial" w:cs="Arial"/>
          <w:color w:val="auto"/>
          <w:sz w:val="22"/>
          <w:szCs w:val="22"/>
          <w:shd w:val="clear" w:color="auto" w:fill="FFFFFF"/>
        </w:rPr>
        <w:t>UR</w:t>
      </w:r>
      <w:r w:rsidR="002A391C">
        <w:rPr>
          <w:rFonts w:ascii="Arial" w:eastAsia="Calibri" w:hAnsi="Arial" w:cs="Arial"/>
          <w:color w:val="auto"/>
          <w:sz w:val="22"/>
          <w:szCs w:val="22"/>
          <w:shd w:val="clear" w:color="auto" w:fill="FFFFFF"/>
        </w:rPr>
        <w:t>)</w:t>
      </w:r>
      <w:r w:rsidRPr="00CE11AE">
        <w:rPr>
          <w:rFonts w:ascii="Arial" w:eastAsia="Calibri" w:hAnsi="Arial" w:cs="Arial"/>
          <w:color w:val="auto"/>
          <w:sz w:val="22"/>
          <w:szCs w:val="22"/>
          <w:shd w:val="clear" w:color="auto" w:fill="FFFFFF"/>
        </w:rPr>
        <w:t xml:space="preserve"> process should not be grounds for an independent medical review.  </w:t>
      </w:r>
      <w:r>
        <w:rPr>
          <w:rFonts w:ascii="Arial" w:eastAsia="Calibri" w:hAnsi="Arial" w:cs="Arial"/>
          <w:color w:val="auto"/>
          <w:sz w:val="22"/>
          <w:szCs w:val="22"/>
          <w:shd w:val="clear" w:color="auto" w:fill="FFFFFF"/>
        </w:rPr>
        <w:t>We also note that e</w:t>
      </w:r>
      <w:r w:rsidRPr="00CE11AE">
        <w:rPr>
          <w:rFonts w:ascii="Arial" w:eastAsia="Calibri" w:hAnsi="Arial" w:cs="Arial"/>
          <w:color w:val="auto"/>
          <w:sz w:val="22"/>
          <w:szCs w:val="22"/>
        </w:rPr>
        <w:t xml:space="preserve">xpedited review is reserved, by statute, for medical emergencies and </w:t>
      </w:r>
      <w:r>
        <w:rPr>
          <w:rFonts w:ascii="Arial" w:eastAsia="Calibri" w:hAnsi="Arial" w:cs="Arial"/>
          <w:color w:val="auto"/>
          <w:sz w:val="22"/>
          <w:szCs w:val="22"/>
        </w:rPr>
        <w:t xml:space="preserve">believe </w:t>
      </w:r>
      <w:r w:rsidRPr="00CE11AE">
        <w:rPr>
          <w:rFonts w:ascii="Arial" w:eastAsia="Calibri" w:hAnsi="Arial" w:cs="Arial"/>
          <w:color w:val="auto"/>
          <w:sz w:val="22"/>
          <w:szCs w:val="22"/>
        </w:rPr>
        <w:t>there should be a consequence for filing an expedited review in bad faith.</w:t>
      </w:r>
    </w:p>
    <w:p w:rsidR="003E763C" w:rsidRPr="00CE11AE" w:rsidRDefault="003E763C" w:rsidP="003E763C">
      <w:pPr>
        <w:rPr>
          <w:rFonts w:ascii="Arial" w:eastAsiaTheme="minorHAnsi" w:hAnsi="Arial" w:cs="Arial"/>
          <w:color w:val="auto"/>
          <w:sz w:val="22"/>
          <w:szCs w:val="22"/>
        </w:rPr>
      </w:pPr>
    </w:p>
    <w:p w:rsidR="007D5AF5" w:rsidRPr="00CE11AE" w:rsidRDefault="00285043" w:rsidP="007D5AF5">
      <w:pPr>
        <w:rPr>
          <w:rFonts w:ascii="Arial" w:eastAsia="Calibri" w:hAnsi="Arial" w:cs="Arial"/>
          <w:color w:val="auto"/>
          <w:sz w:val="22"/>
          <w:szCs w:val="22"/>
          <w:shd w:val="clear" w:color="auto" w:fill="FFFFFF"/>
        </w:rPr>
      </w:pPr>
      <w:r>
        <w:rPr>
          <w:rFonts w:ascii="Arial" w:eastAsia="Calibri" w:hAnsi="Arial" w:cs="Arial"/>
          <w:color w:val="auto"/>
          <w:sz w:val="22"/>
          <w:szCs w:val="22"/>
          <w:shd w:val="clear" w:color="auto" w:fill="FFFFFF"/>
        </w:rPr>
        <w:t xml:space="preserve">The standards for utilization review </w:t>
      </w:r>
      <w:r w:rsidR="00AA12EF">
        <w:rPr>
          <w:rFonts w:ascii="Arial" w:eastAsia="Calibri" w:hAnsi="Arial" w:cs="Arial"/>
          <w:color w:val="auto"/>
          <w:sz w:val="22"/>
          <w:szCs w:val="22"/>
          <w:shd w:val="clear" w:color="auto" w:fill="FFFFFF"/>
        </w:rPr>
        <w:t xml:space="preserve">and IMR must be </w:t>
      </w:r>
      <w:r>
        <w:rPr>
          <w:rFonts w:ascii="Arial" w:eastAsia="Calibri" w:hAnsi="Arial" w:cs="Arial"/>
          <w:color w:val="auto"/>
          <w:sz w:val="22"/>
          <w:szCs w:val="22"/>
          <w:shd w:val="clear" w:color="auto" w:fill="FFFFFF"/>
        </w:rPr>
        <w:t xml:space="preserve">consistent with the standards for independent medical review.  </w:t>
      </w:r>
      <w:r w:rsidR="00610A08">
        <w:rPr>
          <w:rFonts w:ascii="Arial" w:eastAsia="Calibri" w:hAnsi="Arial" w:cs="Arial"/>
          <w:color w:val="auto"/>
          <w:sz w:val="22"/>
          <w:szCs w:val="22"/>
          <w:shd w:val="clear" w:color="auto" w:fill="FFFFFF"/>
        </w:rPr>
        <w:t>I</w:t>
      </w:r>
      <w:r w:rsidR="007D5AF5" w:rsidRPr="00CE11AE">
        <w:rPr>
          <w:rFonts w:ascii="Arial" w:eastAsia="Calibri" w:hAnsi="Arial" w:cs="Arial"/>
          <w:color w:val="auto"/>
          <w:sz w:val="22"/>
          <w:szCs w:val="22"/>
          <w:shd w:val="clear" w:color="auto" w:fill="FFFFFF"/>
        </w:rPr>
        <w:t>t is essential that the medical standards adopted by the Legislature</w:t>
      </w:r>
      <w:r w:rsidR="007D5AF5">
        <w:rPr>
          <w:rFonts w:ascii="Arial" w:eastAsia="Calibri" w:hAnsi="Arial" w:cs="Arial"/>
          <w:color w:val="auto"/>
          <w:sz w:val="22"/>
          <w:szCs w:val="22"/>
          <w:shd w:val="clear" w:color="auto" w:fill="FFFFFF"/>
        </w:rPr>
        <w:t>, which are founded on evidence-</w:t>
      </w:r>
      <w:r w:rsidR="007D5AF5" w:rsidRPr="00CE11AE">
        <w:rPr>
          <w:rFonts w:ascii="Arial" w:eastAsia="Calibri" w:hAnsi="Arial" w:cs="Arial"/>
          <w:color w:val="auto"/>
          <w:sz w:val="22"/>
          <w:szCs w:val="22"/>
          <w:shd w:val="clear" w:color="auto" w:fill="FFFFFF"/>
        </w:rPr>
        <w:t xml:space="preserve">based medicine, </w:t>
      </w:r>
      <w:r w:rsidR="00610A08">
        <w:rPr>
          <w:rFonts w:ascii="Arial" w:eastAsia="Calibri" w:hAnsi="Arial" w:cs="Arial"/>
          <w:color w:val="auto"/>
          <w:sz w:val="22"/>
          <w:szCs w:val="22"/>
          <w:shd w:val="clear" w:color="auto" w:fill="FFFFFF"/>
        </w:rPr>
        <w:t>are</w:t>
      </w:r>
      <w:r w:rsidR="007D5AF5" w:rsidRPr="00CE11AE">
        <w:rPr>
          <w:rFonts w:ascii="Arial" w:eastAsia="Calibri" w:hAnsi="Arial" w:cs="Arial"/>
          <w:color w:val="auto"/>
          <w:sz w:val="22"/>
          <w:szCs w:val="22"/>
          <w:shd w:val="clear" w:color="auto" w:fill="FFFFFF"/>
        </w:rPr>
        <w:t xml:space="preserve"> strictly applied</w:t>
      </w:r>
      <w:r w:rsidR="00610A08" w:rsidRPr="00610A08">
        <w:rPr>
          <w:rFonts w:ascii="Arial" w:eastAsia="Calibri" w:hAnsi="Arial" w:cs="Arial"/>
          <w:color w:val="auto"/>
          <w:sz w:val="22"/>
          <w:szCs w:val="22"/>
          <w:shd w:val="clear" w:color="auto" w:fill="FFFFFF"/>
        </w:rPr>
        <w:t xml:space="preserve"> </w:t>
      </w:r>
      <w:r w:rsidR="00610A08">
        <w:rPr>
          <w:rFonts w:ascii="Arial" w:eastAsia="Calibri" w:hAnsi="Arial" w:cs="Arial"/>
          <w:color w:val="auto"/>
          <w:sz w:val="22"/>
          <w:szCs w:val="22"/>
          <w:shd w:val="clear" w:color="auto" w:fill="FFFFFF"/>
        </w:rPr>
        <w:t>f</w:t>
      </w:r>
      <w:r w:rsidR="00610A08" w:rsidRPr="00CE11AE">
        <w:rPr>
          <w:rFonts w:ascii="Arial" w:eastAsia="Calibri" w:hAnsi="Arial" w:cs="Arial"/>
          <w:color w:val="auto"/>
          <w:sz w:val="22"/>
          <w:szCs w:val="22"/>
          <w:shd w:val="clear" w:color="auto" w:fill="FFFFFF"/>
        </w:rPr>
        <w:t>or utilization review</w:t>
      </w:r>
      <w:r w:rsidR="003E49EF">
        <w:rPr>
          <w:rFonts w:ascii="Arial" w:eastAsia="Calibri" w:hAnsi="Arial" w:cs="Arial"/>
          <w:color w:val="auto"/>
          <w:sz w:val="22"/>
          <w:szCs w:val="22"/>
          <w:shd w:val="clear" w:color="auto" w:fill="FFFFFF"/>
        </w:rPr>
        <w:t xml:space="preserve">, </w:t>
      </w:r>
      <w:r w:rsidR="00A51D00">
        <w:rPr>
          <w:rFonts w:ascii="Arial" w:eastAsia="Calibri" w:hAnsi="Arial" w:cs="Arial"/>
          <w:color w:val="auto"/>
          <w:sz w:val="22"/>
          <w:szCs w:val="22"/>
          <w:shd w:val="clear" w:color="auto" w:fill="FFFFFF"/>
        </w:rPr>
        <w:t xml:space="preserve">and </w:t>
      </w:r>
      <w:r w:rsidR="003E49EF">
        <w:rPr>
          <w:rFonts w:ascii="Arial" w:eastAsia="Calibri" w:hAnsi="Arial" w:cs="Arial"/>
          <w:color w:val="auto"/>
          <w:sz w:val="22"/>
          <w:szCs w:val="22"/>
          <w:shd w:val="clear" w:color="auto" w:fill="FFFFFF"/>
        </w:rPr>
        <w:t>harmonize with the standards for Independent Medical Review (IMR).</w:t>
      </w:r>
      <w:r w:rsidR="007D5AF5" w:rsidRPr="00CE11AE">
        <w:rPr>
          <w:rFonts w:ascii="Arial" w:eastAsia="Calibri" w:hAnsi="Arial" w:cs="Arial"/>
          <w:color w:val="auto"/>
          <w:sz w:val="22"/>
          <w:szCs w:val="22"/>
          <w:shd w:val="clear" w:color="auto" w:fill="FFFFFF"/>
        </w:rPr>
        <w:t xml:space="preserve">  </w:t>
      </w:r>
      <w:r w:rsidR="007D5AF5">
        <w:rPr>
          <w:rFonts w:ascii="Arial" w:eastAsia="Calibri" w:hAnsi="Arial" w:cs="Arial"/>
          <w:color w:val="auto"/>
          <w:sz w:val="22"/>
          <w:szCs w:val="22"/>
          <w:shd w:val="clear" w:color="auto" w:fill="FFFFFF"/>
        </w:rPr>
        <w:t>E</w:t>
      </w:r>
      <w:r w:rsidR="007D5AF5" w:rsidRPr="00CE11AE">
        <w:rPr>
          <w:rFonts w:ascii="Arial" w:eastAsia="Calibri" w:hAnsi="Arial" w:cs="Arial"/>
          <w:color w:val="auto"/>
          <w:sz w:val="22"/>
          <w:szCs w:val="22"/>
          <w:shd w:val="clear" w:color="auto" w:fill="FFFFFF"/>
        </w:rPr>
        <w:t>xpert opinion, generally accepted standards of medical practice, or treatments likely to provide a benefit to the patient for which other treatments are not clinically efficacious</w:t>
      </w:r>
      <w:r w:rsidR="00610A08">
        <w:rPr>
          <w:rFonts w:ascii="Arial" w:eastAsia="Calibri" w:hAnsi="Arial" w:cs="Arial"/>
          <w:color w:val="auto"/>
          <w:sz w:val="22"/>
          <w:szCs w:val="22"/>
          <w:shd w:val="clear" w:color="auto" w:fill="FFFFFF"/>
        </w:rPr>
        <w:t xml:space="preserve"> will</w:t>
      </w:r>
      <w:r w:rsidR="007D5AF5">
        <w:rPr>
          <w:rFonts w:ascii="Arial" w:eastAsia="Calibri" w:hAnsi="Arial" w:cs="Arial"/>
          <w:color w:val="auto"/>
          <w:sz w:val="22"/>
          <w:szCs w:val="22"/>
          <w:shd w:val="clear" w:color="auto" w:fill="FFFFFF"/>
        </w:rPr>
        <w:t xml:space="preserve"> meet these standards </w:t>
      </w:r>
      <w:r w:rsidR="00610A08">
        <w:rPr>
          <w:rFonts w:ascii="Arial" w:eastAsia="Calibri" w:hAnsi="Arial" w:cs="Arial"/>
          <w:color w:val="auto"/>
          <w:sz w:val="22"/>
          <w:szCs w:val="22"/>
          <w:shd w:val="clear" w:color="auto" w:fill="FFFFFF"/>
        </w:rPr>
        <w:t>when</w:t>
      </w:r>
      <w:r w:rsidR="007D5AF5">
        <w:rPr>
          <w:rFonts w:ascii="Arial" w:eastAsia="Calibri" w:hAnsi="Arial" w:cs="Arial"/>
          <w:color w:val="auto"/>
          <w:sz w:val="22"/>
          <w:szCs w:val="22"/>
          <w:shd w:val="clear" w:color="auto" w:fill="FFFFFF"/>
        </w:rPr>
        <w:t xml:space="preserve"> supported by</w:t>
      </w:r>
      <w:r w:rsidR="007D5AF5" w:rsidRPr="00FB005C">
        <w:rPr>
          <w:rFonts w:ascii="Arial" w:eastAsia="Calibri" w:hAnsi="Arial" w:cs="Arial"/>
          <w:color w:val="auto"/>
          <w:sz w:val="22"/>
          <w:szCs w:val="22"/>
          <w:shd w:val="clear" w:color="auto" w:fill="FFFFFF"/>
        </w:rPr>
        <w:t xml:space="preserve"> medical </w:t>
      </w:r>
      <w:r w:rsidR="007D5AF5" w:rsidRPr="00953B20">
        <w:rPr>
          <w:rFonts w:ascii="Arial" w:eastAsia="Calibri" w:hAnsi="Arial" w:cs="Arial"/>
          <w:color w:val="auto"/>
          <w:sz w:val="22"/>
          <w:szCs w:val="22"/>
          <w:shd w:val="clear" w:color="auto" w:fill="FFFFFF"/>
        </w:rPr>
        <w:t>evidence that is peer-reviewed and nationally recognized</w:t>
      </w:r>
      <w:r w:rsidR="007D5AF5" w:rsidRPr="00CE11AE">
        <w:rPr>
          <w:rFonts w:ascii="Arial" w:eastAsia="Calibri" w:hAnsi="Arial" w:cs="Arial"/>
          <w:color w:val="auto"/>
          <w:sz w:val="22"/>
          <w:szCs w:val="22"/>
          <w:shd w:val="clear" w:color="auto" w:fill="FFFFFF"/>
        </w:rPr>
        <w:t xml:space="preserve">. </w:t>
      </w:r>
      <w:r w:rsidR="00B81255">
        <w:rPr>
          <w:rFonts w:ascii="Arial" w:eastAsia="Calibri" w:hAnsi="Arial" w:cs="Arial"/>
          <w:color w:val="auto"/>
          <w:sz w:val="22"/>
          <w:szCs w:val="22"/>
          <w:shd w:val="clear" w:color="auto" w:fill="FFFFFF"/>
        </w:rPr>
        <w:t xml:space="preserve"> </w:t>
      </w:r>
    </w:p>
    <w:p w:rsidR="00CE11AE" w:rsidRPr="00CE11AE" w:rsidRDefault="00CE11AE" w:rsidP="00CE11AE">
      <w:pPr>
        <w:rPr>
          <w:rFonts w:ascii="Arial" w:eastAsia="Calibri" w:hAnsi="Arial" w:cs="Arial"/>
          <w:color w:val="auto"/>
          <w:sz w:val="22"/>
          <w:szCs w:val="22"/>
        </w:rPr>
      </w:pPr>
    </w:p>
    <w:p w:rsidR="005A04E7" w:rsidRDefault="00D205F3" w:rsidP="004C594A">
      <w:pPr>
        <w:pStyle w:val="MessageHeader"/>
        <w:tabs>
          <w:tab w:val="left" w:pos="900"/>
        </w:tabs>
        <w:spacing w:after="0" w:line="240" w:lineRule="auto"/>
        <w:ind w:left="0" w:firstLine="0"/>
        <w:rPr>
          <w:rFonts w:cs="Arial"/>
          <w:sz w:val="22"/>
          <w:szCs w:val="22"/>
        </w:rPr>
      </w:pPr>
      <w:r>
        <w:rPr>
          <w:rFonts w:cs="Arial"/>
          <w:sz w:val="22"/>
          <w:szCs w:val="22"/>
        </w:rPr>
        <w:t>The following s</w:t>
      </w:r>
      <w:r w:rsidR="007D2453">
        <w:rPr>
          <w:rFonts w:cs="Arial"/>
          <w:sz w:val="22"/>
          <w:szCs w:val="22"/>
        </w:rPr>
        <w:t xml:space="preserve">pecific </w:t>
      </w:r>
      <w:r w:rsidR="005A04E7">
        <w:rPr>
          <w:rFonts w:cs="Arial"/>
          <w:sz w:val="22"/>
          <w:szCs w:val="22"/>
        </w:rPr>
        <w:t xml:space="preserve">changes </w:t>
      </w:r>
      <w:r w:rsidR="00477B17">
        <w:rPr>
          <w:rFonts w:cs="Arial"/>
          <w:sz w:val="22"/>
          <w:szCs w:val="22"/>
        </w:rPr>
        <w:t xml:space="preserve">recommended </w:t>
      </w:r>
      <w:r w:rsidR="007D2453">
        <w:rPr>
          <w:rFonts w:cs="Arial"/>
          <w:sz w:val="22"/>
          <w:szCs w:val="22"/>
        </w:rPr>
        <w:t xml:space="preserve">to </w:t>
      </w:r>
      <w:r w:rsidR="00477B17">
        <w:rPr>
          <w:rFonts w:cs="Arial"/>
          <w:sz w:val="22"/>
          <w:szCs w:val="22"/>
        </w:rPr>
        <w:t xml:space="preserve">the proposed </w:t>
      </w:r>
      <w:r w:rsidR="007D2453">
        <w:rPr>
          <w:rFonts w:cs="Arial"/>
          <w:sz w:val="22"/>
          <w:szCs w:val="22"/>
        </w:rPr>
        <w:t xml:space="preserve">regulatory language </w:t>
      </w:r>
      <w:r w:rsidR="005A04E7">
        <w:rPr>
          <w:rFonts w:cs="Arial"/>
          <w:sz w:val="22"/>
          <w:szCs w:val="22"/>
        </w:rPr>
        <w:t xml:space="preserve">are indicated by italicized and highlighted </w:t>
      </w:r>
      <w:r w:rsidR="005A04E7" w:rsidRPr="00477B17">
        <w:rPr>
          <w:rFonts w:cs="Arial"/>
          <w:sz w:val="22"/>
          <w:szCs w:val="22"/>
          <w:highlight w:val="yellow"/>
          <w:u w:val="single"/>
        </w:rPr>
        <w:t>underscore</w:t>
      </w:r>
      <w:r w:rsidR="005A04E7">
        <w:rPr>
          <w:rFonts w:cs="Arial"/>
          <w:sz w:val="22"/>
          <w:szCs w:val="22"/>
        </w:rPr>
        <w:t xml:space="preserve"> and </w:t>
      </w:r>
      <w:r w:rsidR="005A04E7" w:rsidRPr="00477B17">
        <w:rPr>
          <w:rFonts w:cs="Arial"/>
          <w:strike/>
          <w:sz w:val="22"/>
          <w:szCs w:val="22"/>
          <w:highlight w:val="yellow"/>
        </w:rPr>
        <w:t>strikeout</w:t>
      </w:r>
      <w:r w:rsidR="00477B17" w:rsidRPr="00477B17">
        <w:rPr>
          <w:rFonts w:cs="Arial"/>
          <w:sz w:val="22"/>
          <w:szCs w:val="22"/>
        </w:rPr>
        <w:t xml:space="preserve">.  </w:t>
      </w:r>
      <w:r w:rsidR="002375ED">
        <w:rPr>
          <w:rFonts w:cs="Arial"/>
          <w:sz w:val="22"/>
          <w:szCs w:val="22"/>
        </w:rPr>
        <w:t>The Institute’s c</w:t>
      </w:r>
      <w:r w:rsidR="00477B17">
        <w:rPr>
          <w:rFonts w:cs="Arial"/>
          <w:sz w:val="22"/>
          <w:szCs w:val="22"/>
        </w:rPr>
        <w:t xml:space="preserve">omments and discussion on the recommendations are </w:t>
      </w:r>
      <w:r w:rsidR="00477B17">
        <w:rPr>
          <w:rFonts w:cs="Arial"/>
          <w:i/>
          <w:sz w:val="22"/>
          <w:szCs w:val="22"/>
        </w:rPr>
        <w:t>italicized.</w:t>
      </w:r>
    </w:p>
    <w:p w:rsidR="00B11304" w:rsidRDefault="00B11304" w:rsidP="008D17A1">
      <w:pPr>
        <w:pStyle w:val="MessageHeader"/>
        <w:rPr>
          <w:rFonts w:cs="Arial"/>
          <w:b/>
          <w:sz w:val="22"/>
          <w:szCs w:val="22"/>
        </w:rPr>
      </w:pPr>
    </w:p>
    <w:p w:rsidR="00A41157" w:rsidRDefault="00A41157" w:rsidP="0029521E">
      <w:pPr>
        <w:rPr>
          <w:rFonts w:eastAsia="Calibri"/>
          <w:b/>
          <w:color w:val="auto"/>
          <w:szCs w:val="24"/>
        </w:rPr>
      </w:pPr>
    </w:p>
    <w:p w:rsidR="0029521E" w:rsidRPr="0029521E" w:rsidRDefault="0029521E" w:rsidP="0029521E">
      <w:pPr>
        <w:rPr>
          <w:rFonts w:eastAsia="Calibri"/>
          <w:b/>
          <w:color w:val="auto"/>
          <w:szCs w:val="24"/>
        </w:rPr>
      </w:pPr>
      <w:r w:rsidRPr="0029521E">
        <w:rPr>
          <w:rFonts w:eastAsia="Calibri"/>
          <w:b/>
          <w:color w:val="auto"/>
          <w:szCs w:val="24"/>
        </w:rPr>
        <w:t>§9785. Reporting Duties of the Primary Treating Physician.</w:t>
      </w:r>
    </w:p>
    <w:p w:rsidR="0029521E" w:rsidRPr="0029521E" w:rsidRDefault="0029521E" w:rsidP="0029521E">
      <w:pPr>
        <w:rPr>
          <w:szCs w:val="24"/>
        </w:rPr>
      </w:pPr>
    </w:p>
    <w:p w:rsidR="00A9455E" w:rsidRDefault="005D2E10" w:rsidP="00A9455E">
      <w:pPr>
        <w:rPr>
          <w:szCs w:val="24"/>
        </w:rPr>
      </w:pPr>
      <w:r w:rsidRPr="00A9455E">
        <w:rPr>
          <w:szCs w:val="24"/>
        </w:rPr>
        <w:t xml:space="preserve"> </w:t>
      </w:r>
      <w:r w:rsidR="00A9455E" w:rsidRPr="00A9455E">
        <w:rPr>
          <w:szCs w:val="24"/>
        </w:rPr>
        <w:t xml:space="preserve">(b)(3) </w:t>
      </w:r>
      <w:r>
        <w:rPr>
          <w:szCs w:val="24"/>
        </w:rPr>
        <w:t>I</w:t>
      </w:r>
      <w:r w:rsidR="00A9455E" w:rsidRPr="00A9455E">
        <w:rPr>
          <w:szCs w:val="24"/>
        </w:rPr>
        <w:t xml:space="preserve">f the employee disputes a medical determination made by the primary treating physician, including a determination that the employee should be released from care, the dispute shall be resolved under the applicable procedures set forth </w:t>
      </w:r>
      <w:r w:rsidR="00696BE9">
        <w:rPr>
          <w:szCs w:val="24"/>
        </w:rPr>
        <w:t>in</w:t>
      </w:r>
      <w:r w:rsidR="00A9455E" w:rsidRPr="00A9455E">
        <w:rPr>
          <w:szCs w:val="24"/>
        </w:rPr>
        <w:t xml:space="preserve"> Labor Code sections 4060, 4061, 4062, 4600.5, 4616.3, or 4616.4.  If the employee objects to a decision made pursuant to Labor Code section 4610 to modify, delay, or deny a treatment recommendation, the dispute shall be resolved by independent medical review pursuant to Labor Code section 4610.5, if applicable, or otherwise pursuant to Labor Code section </w:t>
      </w:r>
      <w:r w:rsidR="00A9455E" w:rsidRPr="00A9455E">
        <w:rPr>
          <w:szCs w:val="24"/>
        </w:rPr>
        <w:lastRenderedPageBreak/>
        <w:t xml:space="preserve">4062. </w:t>
      </w:r>
      <w:r w:rsidR="00A9455E" w:rsidRPr="000A1AF0">
        <w:rPr>
          <w:szCs w:val="24"/>
          <w:highlight w:val="yellow"/>
          <w:u w:val="single"/>
        </w:rPr>
        <w:t>No other primary treating physician shall be designated by the employee unless and until the dispute is resolved.</w:t>
      </w:r>
      <w:r w:rsidR="00A9455E" w:rsidRPr="00A9455E">
        <w:rPr>
          <w:szCs w:val="24"/>
        </w:rPr>
        <w:t xml:space="preserve"> </w:t>
      </w:r>
    </w:p>
    <w:p w:rsidR="00A9455E" w:rsidRPr="00A9455E" w:rsidRDefault="00A9455E" w:rsidP="00A9455E">
      <w:pPr>
        <w:rPr>
          <w:szCs w:val="24"/>
        </w:rPr>
      </w:pPr>
    </w:p>
    <w:p w:rsidR="00A9455E" w:rsidRPr="00A9455E" w:rsidRDefault="00380DBC" w:rsidP="00A9455E">
      <w:pPr>
        <w:ind w:left="720"/>
        <w:rPr>
          <w:i/>
          <w:szCs w:val="24"/>
        </w:rPr>
      </w:pPr>
      <w:r>
        <w:rPr>
          <w:i/>
          <w:szCs w:val="24"/>
        </w:rPr>
        <w:t>Removing the prohibition to change the primary treating physician</w:t>
      </w:r>
      <w:r w:rsidR="00085AEB">
        <w:rPr>
          <w:i/>
          <w:szCs w:val="24"/>
        </w:rPr>
        <w:t xml:space="preserve"> (PTP)</w:t>
      </w:r>
      <w:r>
        <w:rPr>
          <w:i/>
          <w:szCs w:val="24"/>
        </w:rPr>
        <w:t xml:space="preserve"> before</w:t>
      </w:r>
      <w:r w:rsidR="002311B1">
        <w:rPr>
          <w:i/>
          <w:szCs w:val="24"/>
        </w:rPr>
        <w:t xml:space="preserve"> a dispute is resolved will result in confusion</w:t>
      </w:r>
      <w:r w:rsidR="00D13326">
        <w:rPr>
          <w:i/>
          <w:szCs w:val="24"/>
        </w:rPr>
        <w:t>,</w:t>
      </w:r>
      <w:r w:rsidR="00455C20">
        <w:rPr>
          <w:i/>
          <w:szCs w:val="24"/>
        </w:rPr>
        <w:t xml:space="preserve"> </w:t>
      </w:r>
      <w:r w:rsidR="002311B1">
        <w:rPr>
          <w:i/>
          <w:szCs w:val="24"/>
        </w:rPr>
        <w:t>dispute</w:t>
      </w:r>
      <w:r w:rsidR="00EB2C7E">
        <w:rPr>
          <w:i/>
          <w:szCs w:val="24"/>
        </w:rPr>
        <w:t>s</w:t>
      </w:r>
      <w:r w:rsidR="00455C20">
        <w:rPr>
          <w:i/>
          <w:szCs w:val="24"/>
        </w:rPr>
        <w:t xml:space="preserve"> delays, </w:t>
      </w:r>
      <w:r w:rsidR="006E7487">
        <w:rPr>
          <w:i/>
          <w:szCs w:val="24"/>
        </w:rPr>
        <w:t xml:space="preserve">and </w:t>
      </w:r>
      <w:r w:rsidR="00455C20">
        <w:rPr>
          <w:i/>
          <w:szCs w:val="24"/>
        </w:rPr>
        <w:t>additional costs</w:t>
      </w:r>
      <w:r w:rsidR="002311B1">
        <w:rPr>
          <w:i/>
          <w:szCs w:val="24"/>
        </w:rPr>
        <w:t xml:space="preserve">. </w:t>
      </w:r>
      <w:r w:rsidR="00EB2C7E">
        <w:rPr>
          <w:i/>
          <w:szCs w:val="24"/>
        </w:rPr>
        <w:t xml:space="preserve">If </w:t>
      </w:r>
      <w:r w:rsidR="000A249D">
        <w:rPr>
          <w:i/>
          <w:szCs w:val="24"/>
        </w:rPr>
        <w:t xml:space="preserve">there </w:t>
      </w:r>
      <w:r w:rsidR="00085AEB">
        <w:rPr>
          <w:i/>
          <w:szCs w:val="24"/>
        </w:rPr>
        <w:t>are</w:t>
      </w:r>
      <w:r w:rsidR="00EB2C7E">
        <w:rPr>
          <w:i/>
          <w:szCs w:val="24"/>
        </w:rPr>
        <w:t xml:space="preserve"> dis</w:t>
      </w:r>
      <w:r w:rsidR="000A249D">
        <w:rPr>
          <w:i/>
          <w:szCs w:val="24"/>
        </w:rPr>
        <w:t>pute</w:t>
      </w:r>
      <w:r w:rsidR="00085AEB">
        <w:rPr>
          <w:i/>
          <w:szCs w:val="24"/>
        </w:rPr>
        <w:t>s</w:t>
      </w:r>
      <w:r w:rsidR="000A249D">
        <w:rPr>
          <w:i/>
          <w:szCs w:val="24"/>
        </w:rPr>
        <w:t xml:space="preserve"> over issues such as TD, PD, P&amp;S status, or medical necessity</w:t>
      </w:r>
      <w:r w:rsidR="00085AEB">
        <w:rPr>
          <w:i/>
          <w:szCs w:val="24"/>
        </w:rPr>
        <w:t>,</w:t>
      </w:r>
      <w:r w:rsidR="000A249D">
        <w:rPr>
          <w:i/>
          <w:szCs w:val="24"/>
        </w:rPr>
        <w:t xml:space="preserve"> and</w:t>
      </w:r>
      <w:r w:rsidR="002311B1">
        <w:rPr>
          <w:i/>
          <w:szCs w:val="24"/>
        </w:rPr>
        <w:t xml:space="preserve"> </w:t>
      </w:r>
      <w:r w:rsidR="00085AEB">
        <w:rPr>
          <w:i/>
          <w:szCs w:val="24"/>
        </w:rPr>
        <w:t xml:space="preserve">the PTP is changed before the dispute is resolved, </w:t>
      </w:r>
      <w:r w:rsidR="0049799A">
        <w:rPr>
          <w:i/>
          <w:szCs w:val="24"/>
        </w:rPr>
        <w:t xml:space="preserve">it is not clear whether </w:t>
      </w:r>
      <w:r w:rsidR="00085AEB">
        <w:rPr>
          <w:i/>
          <w:szCs w:val="24"/>
        </w:rPr>
        <w:t xml:space="preserve">findings </w:t>
      </w:r>
      <w:r w:rsidR="00CE38CE">
        <w:rPr>
          <w:i/>
          <w:szCs w:val="24"/>
        </w:rPr>
        <w:t xml:space="preserve">on those disputes </w:t>
      </w:r>
      <w:r w:rsidR="0049799A">
        <w:rPr>
          <w:i/>
          <w:szCs w:val="24"/>
        </w:rPr>
        <w:t xml:space="preserve">will </w:t>
      </w:r>
      <w:r w:rsidR="00051266">
        <w:rPr>
          <w:i/>
          <w:szCs w:val="24"/>
        </w:rPr>
        <w:t xml:space="preserve">be valid </w:t>
      </w:r>
      <w:r w:rsidR="0049799A">
        <w:rPr>
          <w:i/>
          <w:szCs w:val="24"/>
        </w:rPr>
        <w:t>when the</w:t>
      </w:r>
      <w:r w:rsidR="00CE38CE">
        <w:rPr>
          <w:i/>
          <w:szCs w:val="24"/>
        </w:rPr>
        <w:t xml:space="preserve"> </w:t>
      </w:r>
      <w:r w:rsidR="0049799A">
        <w:rPr>
          <w:i/>
          <w:szCs w:val="24"/>
        </w:rPr>
        <w:t xml:space="preserve">opinions, decisions or requests of </w:t>
      </w:r>
      <w:r w:rsidR="00CE38CE">
        <w:rPr>
          <w:i/>
          <w:szCs w:val="24"/>
        </w:rPr>
        <w:t xml:space="preserve">new </w:t>
      </w:r>
      <w:r w:rsidR="0049799A">
        <w:rPr>
          <w:i/>
          <w:szCs w:val="24"/>
        </w:rPr>
        <w:t>PTPs</w:t>
      </w:r>
      <w:r w:rsidR="00CE38CE">
        <w:rPr>
          <w:i/>
          <w:szCs w:val="24"/>
        </w:rPr>
        <w:t xml:space="preserve"> conflict</w:t>
      </w:r>
      <w:r w:rsidR="0049799A">
        <w:rPr>
          <w:i/>
          <w:szCs w:val="24"/>
        </w:rPr>
        <w:t xml:space="preserve"> with the findings</w:t>
      </w:r>
      <w:r w:rsidR="00613CDE">
        <w:rPr>
          <w:i/>
          <w:szCs w:val="24"/>
        </w:rPr>
        <w:t>.</w:t>
      </w:r>
      <w:r w:rsidR="0049799A">
        <w:rPr>
          <w:i/>
          <w:szCs w:val="24"/>
        </w:rPr>
        <w:t xml:space="preserve"> </w:t>
      </w:r>
      <w:r w:rsidR="00CE38CE">
        <w:rPr>
          <w:i/>
          <w:szCs w:val="24"/>
        </w:rPr>
        <w:t xml:space="preserve"> </w:t>
      </w:r>
      <w:r w:rsidR="00613CDE">
        <w:rPr>
          <w:i/>
          <w:szCs w:val="24"/>
        </w:rPr>
        <w:t>Removing the prohibition may also re-introduce or encourage the practice of doctor-shopping.</w:t>
      </w:r>
      <w:r w:rsidR="002311B1">
        <w:rPr>
          <w:i/>
          <w:szCs w:val="24"/>
        </w:rPr>
        <w:t xml:space="preserve">  </w:t>
      </w:r>
      <w:r w:rsidR="006E7487">
        <w:rPr>
          <w:i/>
          <w:szCs w:val="24"/>
        </w:rPr>
        <w:t xml:space="preserve">The Institute urges the Administrative Director to restore the </w:t>
      </w:r>
      <w:r>
        <w:rPr>
          <w:i/>
          <w:szCs w:val="24"/>
        </w:rPr>
        <w:t>language</w:t>
      </w:r>
      <w:r w:rsidR="00A9455E" w:rsidRPr="00A9455E">
        <w:rPr>
          <w:i/>
          <w:szCs w:val="24"/>
        </w:rPr>
        <w:t>.</w:t>
      </w:r>
    </w:p>
    <w:p w:rsidR="00A9455E" w:rsidRPr="00A9455E" w:rsidRDefault="00A9455E" w:rsidP="00A9455E">
      <w:pPr>
        <w:rPr>
          <w:szCs w:val="24"/>
        </w:rPr>
      </w:pPr>
    </w:p>
    <w:p w:rsidR="0029521E" w:rsidRPr="0029521E" w:rsidRDefault="0029521E" w:rsidP="0029521E">
      <w:pPr>
        <w:rPr>
          <w:rFonts w:eastAsia="Calibri"/>
          <w:b/>
          <w:color w:val="auto"/>
          <w:szCs w:val="24"/>
          <w:u w:val="single"/>
        </w:rPr>
      </w:pPr>
    </w:p>
    <w:p w:rsidR="004334EE" w:rsidRPr="004334EE" w:rsidRDefault="004334EE" w:rsidP="00C72ABD">
      <w:pPr>
        <w:ind w:right="-270"/>
        <w:rPr>
          <w:color w:val="auto"/>
          <w:szCs w:val="24"/>
          <w:u w:val="single"/>
        </w:rPr>
      </w:pPr>
      <w:r w:rsidRPr="004334EE">
        <w:rPr>
          <w:b/>
          <w:color w:val="auto"/>
          <w:szCs w:val="24"/>
          <w:u w:val="single"/>
        </w:rPr>
        <w:t>§ 9792.6.1.  Utilization Review Standards</w:t>
      </w:r>
      <w:r w:rsidR="00C72ABD" w:rsidRPr="004334EE">
        <w:rPr>
          <w:b/>
          <w:color w:val="auto"/>
          <w:szCs w:val="24"/>
          <w:u w:val="single"/>
        </w:rPr>
        <w:t xml:space="preserve"> – </w:t>
      </w:r>
      <w:r w:rsidRPr="004334EE">
        <w:rPr>
          <w:b/>
          <w:color w:val="auto"/>
          <w:szCs w:val="24"/>
          <w:u w:val="single"/>
        </w:rPr>
        <w:t xml:space="preserve">Definitions – On or After January 1, 2013. </w:t>
      </w:r>
      <w:r w:rsidRPr="004334EE">
        <w:rPr>
          <w:b/>
          <w:color w:val="auto"/>
          <w:szCs w:val="24"/>
          <w:u w:val="single"/>
        </w:rPr>
        <w:br/>
      </w:r>
    </w:p>
    <w:p w:rsidR="004334EE" w:rsidRPr="004334EE" w:rsidRDefault="004334EE" w:rsidP="004334EE">
      <w:pPr>
        <w:rPr>
          <w:rFonts w:eastAsia="Calibri"/>
          <w:color w:val="auto"/>
          <w:szCs w:val="24"/>
        </w:rPr>
      </w:pPr>
      <w:r w:rsidRPr="004334EE">
        <w:rPr>
          <w:rFonts w:eastAsia="Calibri"/>
          <w:color w:val="auto"/>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of section 5402 of the Labor Code, based on </w:t>
      </w:r>
      <w:r w:rsidRPr="004334EE">
        <w:rPr>
          <w:rFonts w:eastAsia="Calibri"/>
          <w:strike/>
          <w:color w:val="auto"/>
          <w:szCs w:val="24"/>
          <w:highlight w:val="yellow"/>
        </w:rPr>
        <w:t>either</w:t>
      </w:r>
      <w:r w:rsidRPr="004334EE">
        <w:rPr>
          <w:rFonts w:eastAsia="Calibri"/>
          <w:b/>
          <w:color w:val="auto"/>
          <w:szCs w:val="24"/>
        </w:rPr>
        <w:t xml:space="preserve"> </w:t>
      </w:r>
      <w:r w:rsidRPr="004334EE">
        <w:rPr>
          <w:rFonts w:eastAsia="Calibri"/>
          <w:color w:val="auto"/>
          <w:szCs w:val="24"/>
        </w:rPr>
        <w:t xml:space="preserve">a completed “Request for Authorization for Medical Treatment,” DWC Form RFA, as contained in California Code of Regulations, title 8, section 9785.5, </w:t>
      </w:r>
      <w:r w:rsidRPr="004334EE">
        <w:rPr>
          <w:rFonts w:eastAsia="Calibri"/>
          <w:strike/>
          <w:color w:val="auto"/>
          <w:szCs w:val="24"/>
          <w:highlight w:val="yellow"/>
        </w:rPr>
        <w:t>or a request for authorization of medical treatment accepted as complete by the claims administrator under section 9792.9.1(c)(2),</w:t>
      </w:r>
      <w:r w:rsidRPr="004334EE">
        <w:rPr>
          <w:rFonts w:eastAsia="Calibri"/>
          <w:b/>
          <w:color w:val="auto"/>
          <w:szCs w:val="24"/>
        </w:rPr>
        <w:t xml:space="preserve"> </w:t>
      </w:r>
      <w:r w:rsidRPr="004334EE">
        <w:rPr>
          <w:rFonts w:eastAsia="Calibri"/>
          <w:color w:val="auto"/>
          <w:szCs w:val="24"/>
        </w:rPr>
        <w:t>that has been transmitted by the treating physician to the claims administrator. Authorization shall be given pursuant to the timeframe, procedure, and notice requirements of California Code of Regulations, title 8, section 9792.9.1, and may be provided by utilizing the indicated response section of the “Request for Authorization for Medical Treatment,” DWC Form RFA</w:t>
      </w:r>
      <w:r w:rsidRPr="004334EE">
        <w:rPr>
          <w:rFonts w:eastAsia="Calibri"/>
          <w:b/>
          <w:color w:val="auto"/>
          <w:szCs w:val="24"/>
        </w:rPr>
        <w:t xml:space="preserve"> </w:t>
      </w:r>
      <w:r w:rsidRPr="004334EE">
        <w:rPr>
          <w:rFonts w:eastAsia="Calibri"/>
          <w:color w:val="auto"/>
          <w:szCs w:val="24"/>
        </w:rPr>
        <w:t xml:space="preserve">if that form was initially submitted by the treating physician.   </w:t>
      </w:r>
    </w:p>
    <w:p w:rsidR="004334EE" w:rsidRPr="004334EE" w:rsidRDefault="004334EE" w:rsidP="004334EE">
      <w:pPr>
        <w:rPr>
          <w:rFonts w:eastAsia="Calibri"/>
          <w:color w:val="auto"/>
          <w:szCs w:val="24"/>
        </w:rPr>
      </w:pPr>
      <w:r w:rsidRPr="004334EE">
        <w:rPr>
          <w:rFonts w:eastAsia="Calibri"/>
          <w:color w:val="auto"/>
          <w:szCs w:val="24"/>
        </w:rPr>
        <w:t xml:space="preserve"> </w:t>
      </w:r>
    </w:p>
    <w:p w:rsidR="00EF0A7C" w:rsidRDefault="009C0437" w:rsidP="004334EE">
      <w:pPr>
        <w:ind w:left="720"/>
        <w:rPr>
          <w:rFonts w:eastAsia="Calibri"/>
          <w:i/>
          <w:color w:val="auto"/>
          <w:szCs w:val="24"/>
        </w:rPr>
      </w:pPr>
      <w:r>
        <w:rPr>
          <w:rFonts w:eastAsia="Calibri"/>
          <w:i/>
          <w:color w:val="auto"/>
          <w:szCs w:val="24"/>
        </w:rPr>
        <w:t xml:space="preserve">As noted in the introduction, </w:t>
      </w:r>
      <w:r w:rsidR="00EF0A7C">
        <w:rPr>
          <w:rFonts w:eastAsia="Calibri"/>
          <w:i/>
          <w:color w:val="auto"/>
          <w:szCs w:val="24"/>
        </w:rPr>
        <w:t>t</w:t>
      </w:r>
      <w:r w:rsidR="00EF0A7C" w:rsidRPr="00EF0A7C">
        <w:rPr>
          <w:rFonts w:eastAsia="Calibri"/>
          <w:i/>
          <w:color w:val="auto"/>
          <w:szCs w:val="24"/>
        </w:rPr>
        <w:t xml:space="preserve">he Institute strongly objects to modifications to the proposed revisions that will permit requests for authorization to be made in any form and to be presumed to be agreed to if the claims administrator fails to object within five working days. If providers are not required to submit requests via a standard request form, the claims administrator may not be able to identify a request or may not be able to do so timely, which will generate unnecessary treatment delays, disputes and penalties.  Many large claims administrators must rely on OCR (optical character recognition) technology to timely identify requests.  Requiring “Request for Authorization” to be clearly written at the top of the first page of a document does not mean it will be recognized as a request for authorization by OCR technology.  Additional staff and other resources will be necessary to review every piece of incoming mail, slowing the approval process and unnecessarily increasing costs and administrative expenses.  </w:t>
      </w:r>
    </w:p>
    <w:p w:rsidR="00EF0A7C" w:rsidRDefault="00EF0A7C" w:rsidP="004334EE">
      <w:pPr>
        <w:ind w:left="720"/>
        <w:rPr>
          <w:rFonts w:eastAsia="Calibri"/>
          <w:i/>
          <w:color w:val="auto"/>
          <w:szCs w:val="24"/>
        </w:rPr>
      </w:pPr>
    </w:p>
    <w:p w:rsidR="004334EE" w:rsidRPr="004334EE" w:rsidRDefault="004334EE" w:rsidP="004334EE">
      <w:pPr>
        <w:ind w:left="720"/>
        <w:rPr>
          <w:rFonts w:eastAsia="Calibri"/>
          <w:i/>
          <w:color w:val="auto"/>
          <w:szCs w:val="24"/>
        </w:rPr>
      </w:pPr>
      <w:r w:rsidRPr="004334EE">
        <w:rPr>
          <w:rFonts w:eastAsia="Calibri"/>
          <w:i/>
          <w:color w:val="auto"/>
          <w:szCs w:val="24"/>
        </w:rPr>
        <w:t>See</w:t>
      </w:r>
      <w:r w:rsidR="00E86433">
        <w:rPr>
          <w:rFonts w:eastAsia="Calibri"/>
          <w:i/>
          <w:color w:val="auto"/>
          <w:szCs w:val="24"/>
        </w:rPr>
        <w:t xml:space="preserve"> </w:t>
      </w:r>
      <w:r w:rsidR="00EF0A7C">
        <w:rPr>
          <w:rFonts w:eastAsia="Calibri"/>
          <w:i/>
          <w:color w:val="auto"/>
          <w:szCs w:val="24"/>
        </w:rPr>
        <w:t xml:space="preserve">additional detail in </w:t>
      </w:r>
      <w:r w:rsidR="00E86433">
        <w:rPr>
          <w:rFonts w:eastAsia="Calibri"/>
          <w:i/>
          <w:color w:val="auto"/>
          <w:szCs w:val="24"/>
        </w:rPr>
        <w:t xml:space="preserve">the comments </w:t>
      </w:r>
      <w:r w:rsidR="007C2B65">
        <w:rPr>
          <w:rFonts w:eastAsia="Calibri"/>
          <w:i/>
          <w:color w:val="auto"/>
          <w:szCs w:val="24"/>
        </w:rPr>
        <w:t xml:space="preserve">on </w:t>
      </w:r>
      <w:r w:rsidR="00EF0A7C">
        <w:rPr>
          <w:rFonts w:eastAsia="Calibri"/>
          <w:i/>
          <w:color w:val="auto"/>
          <w:szCs w:val="24"/>
        </w:rPr>
        <w:t>this issue</w:t>
      </w:r>
      <w:r w:rsidR="007C2B65">
        <w:rPr>
          <w:rFonts w:eastAsia="Calibri"/>
          <w:i/>
          <w:color w:val="auto"/>
          <w:szCs w:val="24"/>
        </w:rPr>
        <w:t xml:space="preserve"> </w:t>
      </w:r>
      <w:r w:rsidR="00E86433">
        <w:rPr>
          <w:rFonts w:eastAsia="Calibri"/>
          <w:i/>
          <w:color w:val="auto"/>
          <w:szCs w:val="24"/>
        </w:rPr>
        <w:t>in the introduct</w:t>
      </w:r>
      <w:r w:rsidR="00EF0A7C">
        <w:rPr>
          <w:rFonts w:eastAsia="Calibri"/>
          <w:i/>
          <w:color w:val="auto"/>
          <w:szCs w:val="24"/>
        </w:rPr>
        <w:t>ion</w:t>
      </w:r>
      <w:r w:rsidR="00777B5A">
        <w:rPr>
          <w:rFonts w:eastAsia="Calibri"/>
          <w:i/>
          <w:color w:val="auto"/>
          <w:szCs w:val="24"/>
        </w:rPr>
        <w:t xml:space="preserve"> and in</w:t>
      </w:r>
      <w:r w:rsidR="007C2B65" w:rsidRPr="0010671E">
        <w:rPr>
          <w:rFonts w:eastAsia="Calibri"/>
          <w:i/>
          <w:color w:val="auto"/>
          <w:szCs w:val="24"/>
        </w:rPr>
        <w:t xml:space="preserve"> other </w:t>
      </w:r>
      <w:r w:rsidR="0010671E">
        <w:rPr>
          <w:rFonts w:eastAsia="Calibri"/>
          <w:i/>
          <w:color w:val="auto"/>
          <w:szCs w:val="24"/>
        </w:rPr>
        <w:t xml:space="preserve">related </w:t>
      </w:r>
      <w:r w:rsidR="007C2B65" w:rsidRPr="0010671E">
        <w:rPr>
          <w:rFonts w:eastAsia="Calibri"/>
          <w:i/>
          <w:color w:val="auto"/>
          <w:szCs w:val="24"/>
        </w:rPr>
        <w:t>sections throughout this document</w:t>
      </w:r>
      <w:r w:rsidRPr="0010671E">
        <w:rPr>
          <w:rFonts w:eastAsia="Calibri"/>
          <w:i/>
          <w:color w:val="auto"/>
          <w:szCs w:val="24"/>
        </w:rPr>
        <w:t>.</w:t>
      </w:r>
    </w:p>
    <w:p w:rsidR="004334EE" w:rsidRPr="004334EE" w:rsidRDefault="004334EE" w:rsidP="004334EE">
      <w:pPr>
        <w:rPr>
          <w:rFonts w:eastAsia="Calibri"/>
          <w:color w:val="auto"/>
          <w:szCs w:val="24"/>
          <w:u w:val="single"/>
        </w:rPr>
      </w:pPr>
    </w:p>
    <w:p w:rsidR="004334EE" w:rsidRPr="004334EE" w:rsidRDefault="00E03521" w:rsidP="004334EE">
      <w:pPr>
        <w:rPr>
          <w:rFonts w:eastAsia="Calibri"/>
          <w:color w:val="auto"/>
          <w:szCs w:val="24"/>
        </w:rPr>
      </w:pPr>
      <w:r w:rsidRPr="004334EE">
        <w:rPr>
          <w:rFonts w:eastAsia="Calibri"/>
          <w:color w:val="auto"/>
          <w:szCs w:val="24"/>
        </w:rPr>
        <w:t xml:space="preserve"> </w:t>
      </w:r>
      <w:r w:rsidR="004334EE" w:rsidRPr="004334EE">
        <w:rPr>
          <w:rFonts w:eastAsia="Calibri"/>
          <w:color w:val="auto"/>
          <w:szCs w:val="24"/>
        </w:rPr>
        <w:t>(t)(1)</w:t>
      </w:r>
      <w:r w:rsidR="004334EE" w:rsidRPr="004334EE">
        <w:rPr>
          <w:rFonts w:eastAsia="Calibri"/>
          <w:b/>
          <w:color w:val="auto"/>
          <w:szCs w:val="24"/>
        </w:rPr>
        <w:t xml:space="preserve"> </w:t>
      </w:r>
      <w:r w:rsidR="004334EE" w:rsidRPr="00546188">
        <w:rPr>
          <w:rFonts w:eastAsia="Calibri"/>
          <w:strike/>
          <w:color w:val="auto"/>
          <w:szCs w:val="24"/>
          <w:highlight w:val="yellow"/>
        </w:rPr>
        <w:t>Unless accepted  by a claims administrator under section 9792.9.1(c)(2),</w:t>
      </w:r>
      <w:r w:rsidR="004334EE" w:rsidRPr="00546188">
        <w:rPr>
          <w:rFonts w:eastAsia="Calibri"/>
          <w:color w:val="auto"/>
          <w:szCs w:val="24"/>
        </w:rPr>
        <w:t xml:space="preserve"> A</w:t>
      </w:r>
      <w:r w:rsidR="004334EE" w:rsidRPr="004334EE">
        <w:rPr>
          <w:rFonts w:eastAsia="Calibri"/>
          <w:color w:val="auto"/>
          <w:szCs w:val="24"/>
        </w:rPr>
        <w:t xml:space="preserve"> request for authorization must be set forth on a “Request for Authorization for Medical </w:t>
      </w:r>
      <w:r w:rsidR="004334EE" w:rsidRPr="004334EE">
        <w:rPr>
          <w:rFonts w:eastAsia="Calibri"/>
          <w:color w:val="auto"/>
          <w:szCs w:val="24"/>
        </w:rPr>
        <w:lastRenderedPageBreak/>
        <w:t xml:space="preserve">Treatment (DWC Form RFA),” completed by a treating physician, as contained in California Code of Regulations, title 8, section 9785.5.  </w:t>
      </w:r>
      <w:r w:rsidR="004334EE" w:rsidRPr="004334EE">
        <w:rPr>
          <w:rFonts w:eastAsia="Calibri"/>
          <w:strike/>
          <w:color w:val="auto"/>
          <w:szCs w:val="24"/>
          <w:highlight w:val="yellow"/>
        </w:rPr>
        <w:t>Prior to March 1, 2014, any version of the DWC Form RFA adopted by the Administrative Director under section 9785.5 may be used by the treating physician to request medical treatment.</w:t>
      </w:r>
    </w:p>
    <w:p w:rsidR="004334EE" w:rsidRPr="004334EE" w:rsidRDefault="004334EE" w:rsidP="004334EE">
      <w:pPr>
        <w:rPr>
          <w:rFonts w:eastAsia="Calibri"/>
          <w:b/>
          <w:color w:val="auto"/>
          <w:szCs w:val="24"/>
        </w:rPr>
      </w:pPr>
    </w:p>
    <w:p w:rsidR="00CD11BD" w:rsidRPr="004334EE" w:rsidRDefault="00CD11BD" w:rsidP="00CD11BD">
      <w:pPr>
        <w:ind w:left="720"/>
        <w:rPr>
          <w:rFonts w:eastAsia="Calibri"/>
          <w:i/>
          <w:color w:val="auto"/>
          <w:szCs w:val="24"/>
        </w:rPr>
      </w:pPr>
      <w:r w:rsidRPr="004334EE">
        <w:rPr>
          <w:rFonts w:eastAsia="Calibri"/>
          <w:i/>
          <w:color w:val="auto"/>
          <w:szCs w:val="24"/>
        </w:rPr>
        <w:t>See</w:t>
      </w:r>
      <w:r>
        <w:rPr>
          <w:rFonts w:eastAsia="Calibri"/>
          <w:i/>
          <w:color w:val="auto"/>
          <w:szCs w:val="24"/>
        </w:rPr>
        <w:t xml:space="preserve"> the comments on a required form for submitting requests for authorization in the introductory paragraphs of this document, the comments on section 9785.5, and similar comments on other sections throughout this document</w:t>
      </w:r>
      <w:r w:rsidRPr="004334EE">
        <w:rPr>
          <w:rFonts w:eastAsia="Calibri"/>
          <w:i/>
          <w:color w:val="auto"/>
          <w:szCs w:val="24"/>
        </w:rPr>
        <w:t>.</w:t>
      </w:r>
    </w:p>
    <w:p w:rsidR="00CD11BD" w:rsidRPr="004334EE" w:rsidRDefault="00CD11BD" w:rsidP="00CD11BD">
      <w:pPr>
        <w:rPr>
          <w:rFonts w:eastAsia="Calibri"/>
          <w:color w:val="auto"/>
          <w:szCs w:val="24"/>
        </w:rPr>
      </w:pPr>
    </w:p>
    <w:p w:rsidR="004334EE" w:rsidRPr="004334EE" w:rsidRDefault="004334EE" w:rsidP="004334EE">
      <w:pPr>
        <w:ind w:left="720"/>
        <w:rPr>
          <w:rFonts w:eastAsia="Calibri"/>
          <w:i/>
          <w:color w:val="auto"/>
          <w:szCs w:val="24"/>
        </w:rPr>
      </w:pPr>
      <w:r w:rsidRPr="004334EE">
        <w:rPr>
          <w:rFonts w:eastAsia="Calibri"/>
          <w:i/>
          <w:color w:val="auto"/>
          <w:szCs w:val="24"/>
        </w:rPr>
        <w:t xml:space="preserve">The Institute recommends requiring the use of the form adopted in this rulemaking on a going-forward basis for all requests for review submitted after the permanent regulations are implemented, or starting on a date certain, to avoid confusion and dispute over the instructions and rules that should apply.  </w:t>
      </w:r>
    </w:p>
    <w:p w:rsidR="004334EE" w:rsidRPr="004334EE" w:rsidRDefault="004334EE" w:rsidP="004334EE">
      <w:pPr>
        <w:rPr>
          <w:rFonts w:eastAsia="Calibri"/>
          <w:b/>
          <w:color w:val="auto"/>
          <w:szCs w:val="24"/>
          <w:u w:val="single"/>
        </w:rPr>
      </w:pPr>
    </w:p>
    <w:p w:rsidR="004334EE" w:rsidRPr="004334EE" w:rsidRDefault="000636AB" w:rsidP="004334EE">
      <w:pPr>
        <w:rPr>
          <w:rFonts w:eastAsia="Calibri"/>
          <w:color w:val="auto"/>
          <w:szCs w:val="24"/>
        </w:rPr>
      </w:pPr>
      <w:r w:rsidRPr="000636AB">
        <w:rPr>
          <w:rFonts w:eastAsia="Calibri"/>
          <w:color w:val="auto"/>
          <w:szCs w:val="24"/>
        </w:rPr>
        <w:t>(t)</w:t>
      </w:r>
      <w:r w:rsidR="004334EE" w:rsidRPr="004334EE">
        <w:rPr>
          <w:rFonts w:eastAsia="Calibri"/>
          <w:color w:val="auto"/>
          <w:szCs w:val="24"/>
        </w:rPr>
        <w:t>(2)</w:t>
      </w:r>
      <w:r w:rsidR="004334EE" w:rsidRPr="004334EE">
        <w:rPr>
          <w:rFonts w:eastAsia="Calibri"/>
          <w:b/>
          <w:color w:val="auto"/>
          <w:szCs w:val="24"/>
        </w:rPr>
        <w:t xml:space="preserve"> </w:t>
      </w:r>
      <w:r w:rsidR="004334EE" w:rsidRPr="004334EE">
        <w:rPr>
          <w:rFonts w:eastAsia="Calibri"/>
          <w:color w:val="auto"/>
          <w:szCs w:val="24"/>
        </w:rPr>
        <w:t xml:space="preserve">“Completed,” for the purpose of this section and for purposes of investigations and penalties, means that </w:t>
      </w:r>
      <w:r w:rsidR="004334EE" w:rsidRPr="004334EE">
        <w:rPr>
          <w:rFonts w:eastAsia="Calibri"/>
          <w:color w:val="auto"/>
          <w:szCs w:val="24"/>
          <w:highlight w:val="yellow"/>
          <w:u w:val="single"/>
        </w:rPr>
        <w:t>information specific to the request has been provided by the requesting treating physician on the DWC Form RFA,</w:t>
      </w:r>
      <w:r w:rsidR="004334EE" w:rsidRPr="004334EE">
        <w:rPr>
          <w:rFonts w:eastAsia="Calibri"/>
          <w:color w:val="auto"/>
          <w:szCs w:val="24"/>
          <w:highlight w:val="yellow"/>
        </w:rPr>
        <w:t xml:space="preserve"> </w:t>
      </w:r>
      <w:r w:rsidR="004334EE" w:rsidRPr="004334EE">
        <w:rPr>
          <w:rFonts w:eastAsia="Calibri"/>
          <w:strike/>
          <w:color w:val="auto"/>
          <w:szCs w:val="24"/>
          <w:highlight w:val="yellow"/>
        </w:rPr>
        <w:t xml:space="preserve">the request for authorization must </w:t>
      </w:r>
      <w:r w:rsidR="00415378">
        <w:rPr>
          <w:rFonts w:eastAsia="Calibri"/>
          <w:color w:val="auto"/>
          <w:szCs w:val="24"/>
          <w:highlight w:val="yellow"/>
          <w:u w:val="single"/>
        </w:rPr>
        <w:t xml:space="preserve">including </w:t>
      </w:r>
      <w:r w:rsidR="004334EE" w:rsidRPr="004334EE">
        <w:rPr>
          <w:rFonts w:eastAsia="Calibri"/>
          <w:color w:val="auto"/>
          <w:szCs w:val="24"/>
          <w:highlight w:val="yellow"/>
          <w:u w:val="single"/>
        </w:rPr>
        <w:t>information</w:t>
      </w:r>
      <w:r w:rsidR="004334EE" w:rsidRPr="004334EE">
        <w:rPr>
          <w:rFonts w:eastAsia="Calibri"/>
          <w:color w:val="auto"/>
          <w:szCs w:val="24"/>
        </w:rPr>
        <w:t xml:space="preserve"> identif</w:t>
      </w:r>
      <w:r w:rsidR="00822121">
        <w:rPr>
          <w:rFonts w:eastAsia="Calibri"/>
          <w:color w:val="auto"/>
          <w:szCs w:val="24"/>
        </w:rPr>
        <w:t>y</w:t>
      </w:r>
      <w:r w:rsidR="004334EE" w:rsidRPr="004334EE">
        <w:rPr>
          <w:rFonts w:eastAsia="Calibri"/>
          <w:color w:val="auto"/>
          <w:szCs w:val="24"/>
          <w:highlight w:val="yellow"/>
          <w:u w:val="single"/>
        </w:rPr>
        <w:t>ing</w:t>
      </w:r>
      <w:r w:rsidR="004334EE" w:rsidRPr="004334EE">
        <w:rPr>
          <w:rFonts w:eastAsia="Calibri"/>
          <w:color w:val="auto"/>
          <w:szCs w:val="24"/>
        </w:rPr>
        <w:t xml:space="preserve"> both the employee and the provider, </w:t>
      </w:r>
      <w:r w:rsidR="004334EE" w:rsidRPr="004334EE">
        <w:rPr>
          <w:rFonts w:eastAsia="Calibri"/>
          <w:strike/>
          <w:color w:val="auto"/>
          <w:szCs w:val="24"/>
          <w:highlight w:val="yellow"/>
        </w:rPr>
        <w:t>and</w:t>
      </w:r>
      <w:r w:rsidR="004334EE" w:rsidRPr="004334EE">
        <w:rPr>
          <w:rFonts w:eastAsia="Calibri"/>
          <w:color w:val="auto"/>
          <w:szCs w:val="24"/>
        </w:rPr>
        <w:t xml:space="preserve"> identif</w:t>
      </w:r>
      <w:r w:rsidR="00822121">
        <w:rPr>
          <w:rFonts w:eastAsia="Calibri"/>
          <w:color w:val="auto"/>
          <w:szCs w:val="24"/>
        </w:rPr>
        <w:t>y</w:t>
      </w:r>
      <w:r w:rsidR="004334EE" w:rsidRPr="004334EE">
        <w:rPr>
          <w:rFonts w:eastAsia="Calibri"/>
          <w:color w:val="auto"/>
          <w:szCs w:val="24"/>
          <w:highlight w:val="yellow"/>
          <w:u w:val="single"/>
        </w:rPr>
        <w:t>ing</w:t>
      </w:r>
      <w:r w:rsidR="004334EE" w:rsidRPr="004334EE">
        <w:rPr>
          <w:rFonts w:eastAsia="Calibri"/>
          <w:color w:val="auto"/>
          <w:szCs w:val="24"/>
        </w:rPr>
        <w:t xml:space="preserve"> with specificity a recommended treatment or treatments</w:t>
      </w:r>
      <w:r w:rsidR="004334EE" w:rsidRPr="00C42489">
        <w:rPr>
          <w:rFonts w:eastAsia="Calibri"/>
          <w:color w:val="auto"/>
          <w:szCs w:val="24"/>
        </w:rPr>
        <w:t xml:space="preserve"> and </w:t>
      </w:r>
      <w:r w:rsidR="00C42489" w:rsidRPr="007C6CA6">
        <w:rPr>
          <w:rFonts w:eastAsia="Calibri"/>
          <w:strike/>
          <w:color w:val="auto"/>
          <w:szCs w:val="24"/>
          <w:highlight w:val="yellow"/>
        </w:rPr>
        <w:t>be</w:t>
      </w:r>
      <w:r w:rsidR="00C42489" w:rsidRPr="00C42489">
        <w:rPr>
          <w:rFonts w:eastAsia="Calibri"/>
          <w:color w:val="auto"/>
          <w:szCs w:val="24"/>
        </w:rPr>
        <w:t xml:space="preserve"> accompanied by documentation </w:t>
      </w:r>
      <w:r w:rsidR="004334EE" w:rsidRPr="00C42489">
        <w:rPr>
          <w:szCs w:val="24"/>
        </w:rPr>
        <w:t>substantiating the need for the requested treatment</w:t>
      </w:r>
      <w:r w:rsidR="004334EE" w:rsidRPr="00C42489">
        <w:rPr>
          <w:rFonts w:eastAsia="Calibri"/>
          <w:color w:val="auto"/>
          <w:szCs w:val="24"/>
        </w:rPr>
        <w:t>.</w:t>
      </w:r>
      <w:r w:rsidR="004334EE" w:rsidRPr="004334EE">
        <w:rPr>
          <w:rFonts w:eastAsia="Calibri"/>
          <w:color w:val="auto"/>
          <w:szCs w:val="24"/>
        </w:rPr>
        <w:t xml:space="preserve"> </w:t>
      </w:r>
    </w:p>
    <w:p w:rsidR="004334EE" w:rsidRPr="004334EE" w:rsidRDefault="004334EE" w:rsidP="004334EE">
      <w:pPr>
        <w:rPr>
          <w:rFonts w:eastAsia="Calibri"/>
          <w:color w:val="auto"/>
          <w:szCs w:val="24"/>
          <w:u w:val="single"/>
        </w:rPr>
      </w:pPr>
    </w:p>
    <w:p w:rsidR="004334EE" w:rsidRPr="004334EE" w:rsidRDefault="00377E5A" w:rsidP="004334EE">
      <w:pPr>
        <w:ind w:left="720"/>
        <w:rPr>
          <w:rFonts w:eastAsia="Calibri"/>
          <w:i/>
          <w:color w:val="auto"/>
          <w:szCs w:val="24"/>
        </w:rPr>
      </w:pPr>
      <w:r>
        <w:rPr>
          <w:rFonts w:eastAsia="Calibri"/>
          <w:i/>
          <w:color w:val="auto"/>
          <w:szCs w:val="24"/>
        </w:rPr>
        <w:t xml:space="preserve">In order to respond to requests and validate the need for treatment within the required timeframe, it is vital that the treating physician complete all applicable fields on the form so that the administrator can quickly confirm that it is a request for </w:t>
      </w:r>
      <w:r w:rsidR="00A637B2">
        <w:rPr>
          <w:rFonts w:eastAsia="Calibri"/>
          <w:i/>
          <w:color w:val="auto"/>
          <w:szCs w:val="24"/>
        </w:rPr>
        <w:t xml:space="preserve">authorization of </w:t>
      </w:r>
      <w:r>
        <w:rPr>
          <w:rFonts w:eastAsia="Calibri"/>
          <w:i/>
          <w:color w:val="auto"/>
          <w:szCs w:val="24"/>
        </w:rPr>
        <w:t xml:space="preserve">treatment; </w:t>
      </w:r>
      <w:r w:rsidR="00A637B2">
        <w:rPr>
          <w:rFonts w:eastAsia="Calibri"/>
          <w:i/>
          <w:color w:val="auto"/>
          <w:szCs w:val="24"/>
        </w:rPr>
        <w:t>identify the claim as well as the specific treatment that is being requested; and contact the treater with a response or if clarification or additional information is needed</w:t>
      </w:r>
      <w:r w:rsidR="004334EE" w:rsidRPr="004334EE">
        <w:rPr>
          <w:rFonts w:eastAsia="Calibri"/>
          <w:i/>
          <w:color w:val="auto"/>
          <w:szCs w:val="24"/>
        </w:rPr>
        <w:t>.</w:t>
      </w:r>
    </w:p>
    <w:p w:rsidR="004334EE" w:rsidRPr="004334EE" w:rsidRDefault="004334EE" w:rsidP="004334EE">
      <w:pPr>
        <w:rPr>
          <w:rFonts w:eastAsia="Calibri"/>
          <w:color w:val="auto"/>
          <w:szCs w:val="24"/>
          <w:u w:val="single"/>
        </w:rPr>
      </w:pPr>
    </w:p>
    <w:p w:rsidR="004334EE" w:rsidRPr="004334EE" w:rsidRDefault="000636AB" w:rsidP="004334EE">
      <w:pPr>
        <w:rPr>
          <w:rFonts w:eastAsia="Calibri"/>
          <w:color w:val="auto"/>
          <w:szCs w:val="24"/>
        </w:rPr>
      </w:pPr>
      <w:r>
        <w:rPr>
          <w:rFonts w:eastAsia="Calibri"/>
          <w:color w:val="auto"/>
          <w:szCs w:val="24"/>
        </w:rPr>
        <w:t>(t)(3)</w:t>
      </w:r>
      <w:r w:rsidR="004334EE" w:rsidRPr="004334EE">
        <w:rPr>
          <w:rFonts w:eastAsia="Calibri"/>
          <w:color w:val="auto"/>
          <w:szCs w:val="24"/>
        </w:rPr>
        <w:t xml:space="preserve"> The request for authorization must be signed by the treating physician and </w:t>
      </w:r>
      <w:r w:rsidR="004334EE" w:rsidRPr="004334EE">
        <w:rPr>
          <w:rFonts w:eastAsia="Calibri"/>
          <w:strike/>
          <w:color w:val="auto"/>
          <w:szCs w:val="24"/>
          <w:highlight w:val="yellow"/>
        </w:rPr>
        <w:t>may be</w:t>
      </w:r>
      <w:r w:rsidR="004334EE" w:rsidRPr="004334EE">
        <w:rPr>
          <w:rFonts w:eastAsia="Calibri"/>
          <w:color w:val="auto"/>
          <w:szCs w:val="24"/>
        </w:rPr>
        <w:t xml:space="preserve"> mailed, faxed or e-</w:t>
      </w:r>
      <w:r w:rsidR="004334EE" w:rsidRPr="002D23A6">
        <w:rPr>
          <w:rFonts w:eastAsia="Calibri"/>
          <w:color w:val="auto"/>
          <w:szCs w:val="24"/>
        </w:rPr>
        <w:t>mailed to</w:t>
      </w:r>
      <w:r w:rsidR="0005757C" w:rsidRPr="002D23A6">
        <w:rPr>
          <w:rFonts w:eastAsia="Calibri"/>
          <w:color w:val="auto"/>
          <w:szCs w:val="24"/>
        </w:rPr>
        <w:t>, if</w:t>
      </w:r>
      <w:r w:rsidR="004334EE" w:rsidRPr="002D23A6">
        <w:rPr>
          <w:rFonts w:eastAsia="Calibri"/>
          <w:color w:val="auto"/>
          <w:szCs w:val="24"/>
        </w:rPr>
        <w:t xml:space="preserve"> </w:t>
      </w:r>
      <w:r w:rsidR="00541CB4" w:rsidRPr="002D23A6">
        <w:rPr>
          <w:rFonts w:eastAsia="Calibri"/>
          <w:color w:val="auto"/>
          <w:szCs w:val="24"/>
        </w:rPr>
        <w:t>designated</w:t>
      </w:r>
      <w:r w:rsidR="0005757C" w:rsidRPr="002D23A6">
        <w:rPr>
          <w:rFonts w:eastAsia="Calibri"/>
          <w:color w:val="auto"/>
          <w:szCs w:val="24"/>
        </w:rPr>
        <w:t>, the address, fax number, or e-mail</w:t>
      </w:r>
      <w:r w:rsidR="00541CB4" w:rsidRPr="002D23A6">
        <w:rPr>
          <w:rFonts w:eastAsia="Calibri"/>
          <w:color w:val="auto"/>
          <w:szCs w:val="24"/>
        </w:rPr>
        <w:t xml:space="preserve"> address</w:t>
      </w:r>
      <w:r w:rsidR="0005757C">
        <w:rPr>
          <w:rFonts w:eastAsia="Calibri"/>
          <w:color w:val="auto"/>
          <w:szCs w:val="24"/>
          <w:u w:val="single"/>
        </w:rPr>
        <w:t xml:space="preserve"> </w:t>
      </w:r>
      <w:r w:rsidR="0005757C" w:rsidRPr="002B765A">
        <w:rPr>
          <w:rFonts w:eastAsia="Calibri"/>
          <w:color w:val="auto"/>
          <w:szCs w:val="24"/>
        </w:rPr>
        <w:t>designated by the claims administrator for this purpose</w:t>
      </w:r>
      <w:r w:rsidR="004334EE" w:rsidRPr="004334EE">
        <w:rPr>
          <w:rFonts w:eastAsia="Calibri"/>
          <w:color w:val="auto"/>
          <w:szCs w:val="24"/>
        </w:rPr>
        <w:t xml:space="preserve">. By agreement of the parties, the </w:t>
      </w:r>
      <w:r w:rsidR="004334EE" w:rsidRPr="0005757C">
        <w:rPr>
          <w:rFonts w:eastAsia="Calibri"/>
          <w:color w:val="auto"/>
          <w:szCs w:val="24"/>
        </w:rPr>
        <w:t xml:space="preserve">treating </w:t>
      </w:r>
      <w:r w:rsidR="004334EE" w:rsidRPr="004334EE">
        <w:rPr>
          <w:rFonts w:eastAsia="Calibri"/>
          <w:color w:val="auto"/>
          <w:szCs w:val="24"/>
        </w:rPr>
        <w:t xml:space="preserve">physician may submit the request for authorization with an electronic signature. </w:t>
      </w:r>
    </w:p>
    <w:p w:rsidR="00541CB4" w:rsidRDefault="00541CB4" w:rsidP="004334EE">
      <w:pPr>
        <w:ind w:left="720"/>
        <w:rPr>
          <w:rFonts w:eastAsia="Calibri"/>
          <w:i/>
          <w:color w:val="auto"/>
          <w:szCs w:val="24"/>
        </w:rPr>
      </w:pPr>
    </w:p>
    <w:p w:rsidR="004334EE" w:rsidRPr="004334EE" w:rsidRDefault="000B39C0" w:rsidP="004334EE">
      <w:pPr>
        <w:ind w:left="720"/>
        <w:rPr>
          <w:rFonts w:eastAsia="Calibri"/>
          <w:i/>
          <w:color w:val="auto"/>
          <w:szCs w:val="24"/>
        </w:rPr>
      </w:pPr>
      <w:r>
        <w:rPr>
          <w:rFonts w:eastAsia="Calibri"/>
          <w:i/>
          <w:color w:val="auto"/>
          <w:szCs w:val="24"/>
        </w:rPr>
        <w:t xml:space="preserve">The </w:t>
      </w:r>
      <w:r w:rsidR="002B765A">
        <w:rPr>
          <w:rFonts w:eastAsia="Calibri"/>
          <w:i/>
          <w:color w:val="auto"/>
          <w:szCs w:val="24"/>
        </w:rPr>
        <w:t>Institute appreciates the</w:t>
      </w:r>
      <w:r>
        <w:rPr>
          <w:rFonts w:eastAsia="Calibri"/>
          <w:i/>
          <w:color w:val="auto"/>
          <w:szCs w:val="24"/>
        </w:rPr>
        <w:t xml:space="preserve"> modification </w:t>
      </w:r>
      <w:r w:rsidR="002B765A">
        <w:rPr>
          <w:rFonts w:eastAsia="Calibri"/>
          <w:i/>
          <w:color w:val="auto"/>
          <w:szCs w:val="24"/>
        </w:rPr>
        <w:t xml:space="preserve">that </w:t>
      </w:r>
      <w:r>
        <w:rPr>
          <w:rFonts w:eastAsia="Calibri"/>
          <w:i/>
          <w:color w:val="auto"/>
          <w:szCs w:val="24"/>
        </w:rPr>
        <w:t xml:space="preserve">will </w:t>
      </w:r>
      <w:r w:rsidR="002B765A">
        <w:rPr>
          <w:rFonts w:eastAsia="Calibri"/>
          <w:i/>
          <w:color w:val="auto"/>
          <w:szCs w:val="24"/>
        </w:rPr>
        <w:t xml:space="preserve">help </w:t>
      </w:r>
      <w:r>
        <w:rPr>
          <w:rFonts w:eastAsia="Calibri"/>
          <w:i/>
          <w:color w:val="auto"/>
          <w:szCs w:val="24"/>
        </w:rPr>
        <w:t>ensure the request for authorization is submitted to the proper recipient</w:t>
      </w:r>
      <w:r w:rsidR="004334EE" w:rsidRPr="004334EE">
        <w:rPr>
          <w:rFonts w:eastAsia="Calibri"/>
          <w:i/>
          <w:color w:val="auto"/>
          <w:szCs w:val="24"/>
        </w:rPr>
        <w:t>.</w:t>
      </w:r>
      <w:r w:rsidR="004334EE" w:rsidRPr="002A0519">
        <w:rPr>
          <w:rFonts w:eastAsia="Calibri"/>
          <w:i/>
          <w:color w:val="auto"/>
          <w:szCs w:val="24"/>
        </w:rPr>
        <w:t xml:space="preserve"> </w:t>
      </w:r>
      <w:r w:rsidR="00D222BA" w:rsidRPr="002A0519">
        <w:rPr>
          <w:rFonts w:eastAsia="Calibri"/>
          <w:i/>
          <w:color w:val="auto"/>
          <w:szCs w:val="24"/>
        </w:rPr>
        <w:t xml:space="preserve">We suggest </w:t>
      </w:r>
      <w:r w:rsidR="007D33B2" w:rsidRPr="002A0519">
        <w:rPr>
          <w:rFonts w:eastAsia="Calibri"/>
          <w:i/>
          <w:color w:val="auto"/>
          <w:szCs w:val="24"/>
        </w:rPr>
        <w:t xml:space="preserve">requiring </w:t>
      </w:r>
      <w:r w:rsidR="00D222BA" w:rsidRPr="002A0519">
        <w:rPr>
          <w:rFonts w:eastAsia="Calibri"/>
          <w:i/>
          <w:color w:val="auto"/>
          <w:szCs w:val="24"/>
        </w:rPr>
        <w:t xml:space="preserve">the </w:t>
      </w:r>
      <w:r w:rsidR="007D33B2" w:rsidRPr="002A0519">
        <w:rPr>
          <w:rFonts w:eastAsia="Calibri"/>
          <w:i/>
          <w:color w:val="auto"/>
          <w:szCs w:val="24"/>
        </w:rPr>
        <w:t xml:space="preserve">treating physician </w:t>
      </w:r>
      <w:r w:rsidR="001013B6" w:rsidRPr="002A0519">
        <w:rPr>
          <w:rFonts w:eastAsia="Calibri"/>
          <w:i/>
          <w:color w:val="auto"/>
          <w:szCs w:val="24"/>
        </w:rPr>
        <w:t xml:space="preserve">to not only sign the request, but to also submit the </w:t>
      </w:r>
      <w:r w:rsidR="00D222BA" w:rsidRPr="002A0519">
        <w:rPr>
          <w:rFonts w:eastAsia="Calibri"/>
          <w:i/>
          <w:color w:val="auto"/>
          <w:szCs w:val="24"/>
        </w:rPr>
        <w:t>request</w:t>
      </w:r>
      <w:r w:rsidR="001013B6" w:rsidRPr="002A0519">
        <w:rPr>
          <w:rFonts w:eastAsia="Calibri"/>
          <w:i/>
          <w:color w:val="auto"/>
          <w:szCs w:val="24"/>
        </w:rPr>
        <w:t xml:space="preserve"> to a designated address, fax number or e-mail address</w:t>
      </w:r>
      <w:r w:rsidR="00503EC0" w:rsidRPr="002A0519">
        <w:rPr>
          <w:rFonts w:eastAsia="Calibri"/>
          <w:i/>
          <w:color w:val="auto"/>
          <w:szCs w:val="24"/>
        </w:rPr>
        <w:t xml:space="preserve"> if any. If this is not required, a treating physician would be permitted to ignore </w:t>
      </w:r>
      <w:r w:rsidR="00CB00E6" w:rsidRPr="002A0519">
        <w:rPr>
          <w:rFonts w:eastAsia="Calibri"/>
          <w:i/>
          <w:color w:val="auto"/>
          <w:szCs w:val="24"/>
        </w:rPr>
        <w:t xml:space="preserve">any </w:t>
      </w:r>
      <w:r w:rsidR="00503EC0" w:rsidRPr="002A0519">
        <w:rPr>
          <w:rFonts w:eastAsia="Calibri"/>
          <w:i/>
          <w:color w:val="auto"/>
          <w:szCs w:val="24"/>
        </w:rPr>
        <w:t>designated</w:t>
      </w:r>
      <w:r w:rsidR="00CB00E6" w:rsidRPr="002A0519">
        <w:rPr>
          <w:rFonts w:eastAsia="Calibri"/>
          <w:i/>
          <w:color w:val="auto"/>
          <w:szCs w:val="24"/>
        </w:rPr>
        <w:t xml:space="preserve"> address or fax number which may</w:t>
      </w:r>
      <w:r>
        <w:rPr>
          <w:rFonts w:eastAsia="Calibri"/>
          <w:i/>
          <w:color w:val="auto"/>
          <w:szCs w:val="24"/>
        </w:rPr>
        <w:t xml:space="preserve"> </w:t>
      </w:r>
      <w:r w:rsidR="00F20052">
        <w:rPr>
          <w:rFonts w:eastAsia="Calibri"/>
          <w:i/>
          <w:color w:val="auto"/>
          <w:szCs w:val="24"/>
        </w:rPr>
        <w:t>caus</w:t>
      </w:r>
      <w:r w:rsidR="00CB00E6">
        <w:rPr>
          <w:rFonts w:eastAsia="Calibri"/>
          <w:i/>
          <w:color w:val="auto"/>
          <w:szCs w:val="24"/>
        </w:rPr>
        <w:t>e</w:t>
      </w:r>
      <w:r w:rsidR="00F20052">
        <w:rPr>
          <w:rFonts w:eastAsia="Calibri"/>
          <w:i/>
          <w:color w:val="auto"/>
          <w:szCs w:val="24"/>
        </w:rPr>
        <w:t xml:space="preserve"> </w:t>
      </w:r>
      <w:r>
        <w:rPr>
          <w:rFonts w:eastAsia="Calibri"/>
          <w:i/>
          <w:color w:val="auto"/>
          <w:szCs w:val="24"/>
        </w:rPr>
        <w:t xml:space="preserve">the injured employee’s treatment </w:t>
      </w:r>
      <w:r w:rsidR="00F20052">
        <w:rPr>
          <w:rFonts w:eastAsia="Calibri"/>
          <w:i/>
          <w:color w:val="auto"/>
          <w:szCs w:val="24"/>
        </w:rPr>
        <w:t>to</w:t>
      </w:r>
      <w:r>
        <w:rPr>
          <w:rFonts w:eastAsia="Calibri"/>
          <w:i/>
          <w:color w:val="auto"/>
          <w:szCs w:val="24"/>
        </w:rPr>
        <w:t xml:space="preserve"> be delayed</w:t>
      </w:r>
      <w:r w:rsidR="00F20052">
        <w:rPr>
          <w:rFonts w:eastAsia="Calibri"/>
          <w:i/>
          <w:color w:val="auto"/>
          <w:szCs w:val="24"/>
        </w:rPr>
        <w:t xml:space="preserve">, and </w:t>
      </w:r>
      <w:r w:rsidR="00CB00E6">
        <w:rPr>
          <w:rFonts w:eastAsia="Calibri"/>
          <w:i/>
          <w:color w:val="auto"/>
          <w:szCs w:val="24"/>
        </w:rPr>
        <w:t xml:space="preserve">unfairly </w:t>
      </w:r>
      <w:r w:rsidR="00A637B2">
        <w:rPr>
          <w:rFonts w:eastAsia="Calibri"/>
          <w:i/>
          <w:color w:val="auto"/>
          <w:szCs w:val="24"/>
        </w:rPr>
        <w:t>trigge</w:t>
      </w:r>
      <w:r w:rsidR="00CB00E6">
        <w:rPr>
          <w:rFonts w:eastAsia="Calibri"/>
          <w:i/>
          <w:color w:val="auto"/>
          <w:szCs w:val="24"/>
        </w:rPr>
        <w:t>r</w:t>
      </w:r>
      <w:r w:rsidR="00A637B2">
        <w:rPr>
          <w:rFonts w:eastAsia="Calibri"/>
          <w:i/>
          <w:color w:val="auto"/>
          <w:szCs w:val="24"/>
        </w:rPr>
        <w:t xml:space="preserve"> </w:t>
      </w:r>
      <w:r w:rsidR="00F20052">
        <w:rPr>
          <w:rFonts w:eastAsia="Calibri"/>
          <w:i/>
          <w:color w:val="auto"/>
          <w:szCs w:val="24"/>
        </w:rPr>
        <w:t>penalties.</w:t>
      </w:r>
    </w:p>
    <w:p w:rsidR="004334EE" w:rsidRPr="004334EE" w:rsidRDefault="004334EE" w:rsidP="004334EE">
      <w:pPr>
        <w:rPr>
          <w:rFonts w:eastAsia="Calibri"/>
          <w:color w:val="auto"/>
          <w:szCs w:val="24"/>
          <w:u w:val="single"/>
        </w:rPr>
      </w:pPr>
    </w:p>
    <w:p w:rsidR="00C72ABD" w:rsidRPr="004334EE" w:rsidRDefault="00AC26EB" w:rsidP="00C72ABD">
      <w:pPr>
        <w:rPr>
          <w:rFonts w:eastAsia="Calibri"/>
          <w:color w:val="auto"/>
          <w:szCs w:val="24"/>
        </w:rPr>
      </w:pPr>
      <w:r w:rsidRPr="00AC26EB">
        <w:rPr>
          <w:szCs w:val="24"/>
        </w:rPr>
        <w:t>(y)</w:t>
      </w:r>
      <w:r w:rsidRPr="00AC26EB">
        <w:rPr>
          <w:b/>
          <w:szCs w:val="24"/>
        </w:rPr>
        <w:t xml:space="preserve"> </w:t>
      </w:r>
      <w:r w:rsidRPr="00AC26EB">
        <w:rPr>
          <w:szCs w:val="24"/>
        </w:rPr>
        <w:t xml:space="preserve">"Utilization review process" means utilization management functions that prospectively, retrospectively, or concurrently review and approve, modify, delay, or deny, based in whole or in part on medical necessity to cure or relieve, treatment recommendations by physicians, as defined in </w:t>
      </w:r>
      <w:hyperlink r:id="rId11" w:history="1">
        <w:r w:rsidRPr="00AC26EB">
          <w:rPr>
            <w:rStyle w:val="Hyperlink"/>
            <w:szCs w:val="24"/>
            <w:u w:val="none"/>
          </w:rPr>
          <w:t>Labor Code section 3209.3</w:t>
        </w:r>
      </w:hyperlink>
      <w:r w:rsidRPr="00AC26EB">
        <w:rPr>
          <w:szCs w:val="24"/>
        </w:rPr>
        <w:t xml:space="preserve">, prior to, retrospectively, or concurrent with the provision of medical treatment services pursuant to </w:t>
      </w:r>
      <w:hyperlink r:id="rId12" w:history="1">
        <w:r w:rsidRPr="00AC26EB">
          <w:rPr>
            <w:rStyle w:val="Hyperlink"/>
            <w:szCs w:val="24"/>
            <w:u w:val="none"/>
          </w:rPr>
          <w:t>Labor Code section 4600</w:t>
        </w:r>
      </w:hyperlink>
      <w:r w:rsidRPr="00AC26EB">
        <w:rPr>
          <w:szCs w:val="24"/>
        </w:rPr>
        <w:t xml:space="preserve">.  The utilization review process begins when the completed </w:t>
      </w:r>
      <w:r w:rsidRPr="00AC26EB">
        <w:rPr>
          <w:szCs w:val="24"/>
        </w:rPr>
        <w:lastRenderedPageBreak/>
        <w:t>DWC Form RFA</w:t>
      </w:r>
      <w:r w:rsidRPr="00AC26EB">
        <w:rPr>
          <w:strike/>
          <w:szCs w:val="24"/>
          <w:highlight w:val="yellow"/>
        </w:rPr>
        <w:t>, or a request or authorization accepted as complete under section 9792.9.1(c)(2),</w:t>
      </w:r>
      <w:r w:rsidRPr="00AC26EB">
        <w:rPr>
          <w:szCs w:val="24"/>
        </w:rPr>
        <w:t xml:space="preserve"> is first received by the claims administrator, or in the case of prior authorization, when the treating physician satisfies the conditions described in the utilization review plan for prior authorization.</w:t>
      </w:r>
      <w:r w:rsidRPr="00AC26EB">
        <w:rPr>
          <w:szCs w:val="24"/>
        </w:rPr>
        <w:br/>
      </w:r>
    </w:p>
    <w:p w:rsidR="00C72ABD" w:rsidRPr="004334EE" w:rsidRDefault="00C72ABD" w:rsidP="00C72ABD">
      <w:pPr>
        <w:ind w:left="720"/>
        <w:rPr>
          <w:rFonts w:eastAsia="Calibri"/>
          <w:i/>
          <w:color w:val="auto"/>
          <w:szCs w:val="24"/>
        </w:rPr>
      </w:pPr>
      <w:r w:rsidRPr="004334EE">
        <w:rPr>
          <w:rFonts w:eastAsia="Calibri"/>
          <w:i/>
          <w:color w:val="auto"/>
          <w:szCs w:val="24"/>
        </w:rPr>
        <w:t>See</w:t>
      </w:r>
      <w:r>
        <w:rPr>
          <w:rFonts w:eastAsia="Calibri"/>
          <w:i/>
          <w:color w:val="auto"/>
          <w:szCs w:val="24"/>
        </w:rPr>
        <w:t xml:space="preserve"> the comments on a required form for submitting requests for authorization in the introductory paragraphs of this document, </w:t>
      </w:r>
      <w:r w:rsidRPr="0010671E">
        <w:rPr>
          <w:rFonts w:eastAsia="Calibri"/>
          <w:i/>
          <w:color w:val="auto"/>
          <w:szCs w:val="24"/>
        </w:rPr>
        <w:t xml:space="preserve">and similar recommendations and comments </w:t>
      </w:r>
      <w:r>
        <w:rPr>
          <w:rFonts w:eastAsia="Calibri"/>
          <w:i/>
          <w:color w:val="auto"/>
          <w:szCs w:val="24"/>
        </w:rPr>
        <w:t>i</w:t>
      </w:r>
      <w:r w:rsidRPr="0010671E">
        <w:rPr>
          <w:rFonts w:eastAsia="Calibri"/>
          <w:i/>
          <w:color w:val="auto"/>
          <w:szCs w:val="24"/>
        </w:rPr>
        <w:t xml:space="preserve">n other </w:t>
      </w:r>
      <w:r>
        <w:rPr>
          <w:rFonts w:eastAsia="Calibri"/>
          <w:i/>
          <w:color w:val="auto"/>
          <w:szCs w:val="24"/>
        </w:rPr>
        <w:t xml:space="preserve">related </w:t>
      </w:r>
      <w:r w:rsidRPr="0010671E">
        <w:rPr>
          <w:rFonts w:eastAsia="Calibri"/>
          <w:i/>
          <w:color w:val="auto"/>
          <w:szCs w:val="24"/>
        </w:rPr>
        <w:t>sections throughout this document.</w:t>
      </w:r>
    </w:p>
    <w:p w:rsidR="0029521E" w:rsidRDefault="0029521E" w:rsidP="0029521E">
      <w:pPr>
        <w:rPr>
          <w:szCs w:val="24"/>
        </w:rPr>
      </w:pPr>
    </w:p>
    <w:p w:rsidR="00C72ABD" w:rsidRPr="00AC26EB" w:rsidRDefault="00C72ABD" w:rsidP="0029521E">
      <w:pPr>
        <w:rPr>
          <w:szCs w:val="24"/>
        </w:rPr>
      </w:pPr>
    </w:p>
    <w:p w:rsidR="0029521E" w:rsidRPr="0029521E" w:rsidRDefault="0029521E" w:rsidP="0029521E">
      <w:pPr>
        <w:rPr>
          <w:rFonts w:eastAsia="Calibri"/>
          <w:color w:val="auto"/>
          <w:szCs w:val="24"/>
        </w:rPr>
      </w:pPr>
      <w:r w:rsidRPr="009100AF">
        <w:rPr>
          <w:rFonts w:eastAsia="Calibri"/>
          <w:b/>
          <w:color w:val="auto"/>
          <w:szCs w:val="24"/>
        </w:rPr>
        <w:t>§9792.9.1. Utilization Review Standards--Timeframe, Procedures and Notice – For Injuries Occurring On or After January 1, 2013.</w:t>
      </w:r>
      <w:r w:rsidRPr="0029521E">
        <w:rPr>
          <w:rFonts w:eastAsia="Calibri"/>
          <w:b/>
          <w:color w:val="auto"/>
          <w:szCs w:val="24"/>
        </w:rPr>
        <w:t xml:space="preserve"> </w:t>
      </w:r>
      <w:r w:rsidRPr="0029521E">
        <w:rPr>
          <w:rFonts w:eastAsia="Calibri"/>
          <w:b/>
          <w:color w:val="auto"/>
          <w:szCs w:val="24"/>
        </w:rPr>
        <w:br/>
      </w:r>
    </w:p>
    <w:p w:rsidR="00D821CC" w:rsidRPr="00D821CC" w:rsidRDefault="00D821CC" w:rsidP="00D821CC">
      <w:pPr>
        <w:rPr>
          <w:rFonts w:eastAsia="Calibri"/>
          <w:color w:val="auto"/>
          <w:szCs w:val="24"/>
        </w:rPr>
      </w:pPr>
      <w:r w:rsidRPr="00D821CC">
        <w:rPr>
          <w:rFonts w:eastAsia="Calibri"/>
          <w:color w:val="auto"/>
          <w:szCs w:val="24"/>
        </w:rPr>
        <w:t xml:space="preserve"> (b)(1) If the claims administrator disputes liability under this subdivision, it may, no later than five (5) business days from receipt of the DWC Form RFA, issue a written decision deferring utilization review of the requested treatment, unless the requesting physician has been previously notified under this subdivision of a dispute over liability and an explanation for the deferral of utilization review for a specific course of treatment.  The written decision must be sent to the requesting physician, </w:t>
      </w:r>
      <w:r w:rsidRPr="00D821CC">
        <w:rPr>
          <w:rFonts w:eastAsia="Calibri"/>
          <w:color w:val="auto"/>
          <w:szCs w:val="24"/>
          <w:highlight w:val="yellow"/>
          <w:u w:val="single"/>
        </w:rPr>
        <w:t>and</w:t>
      </w:r>
      <w:r>
        <w:rPr>
          <w:rFonts w:eastAsia="Calibri"/>
          <w:color w:val="auto"/>
          <w:szCs w:val="24"/>
          <w:u w:val="single"/>
        </w:rPr>
        <w:t xml:space="preserve"> </w:t>
      </w:r>
      <w:r w:rsidRPr="00D821CC">
        <w:rPr>
          <w:rFonts w:eastAsia="Calibri"/>
          <w:color w:val="auto"/>
          <w:szCs w:val="24"/>
        </w:rPr>
        <w:t>the injured worker</w:t>
      </w:r>
      <w:r w:rsidRPr="00D821CC">
        <w:rPr>
          <w:rFonts w:eastAsia="Calibri"/>
          <w:strike/>
          <w:color w:val="auto"/>
          <w:szCs w:val="24"/>
          <w:highlight w:val="yellow"/>
        </w:rPr>
        <w:t>, and if the injured worker is represented by counsel, the injured worker's attorney</w:t>
      </w:r>
      <w:r w:rsidRPr="00D821CC">
        <w:rPr>
          <w:rFonts w:eastAsia="Calibri"/>
          <w:color w:val="auto"/>
          <w:szCs w:val="24"/>
        </w:rPr>
        <w:t>.  The written decision shall contain the following information specific to the request:</w:t>
      </w:r>
    </w:p>
    <w:p w:rsidR="00D821CC" w:rsidRDefault="00D821CC" w:rsidP="003B689C">
      <w:pPr>
        <w:rPr>
          <w:rFonts w:eastAsia="Calibri"/>
          <w:color w:val="auto"/>
          <w:szCs w:val="24"/>
        </w:rPr>
      </w:pPr>
    </w:p>
    <w:p w:rsidR="00C25BF4" w:rsidRPr="00732FF9" w:rsidRDefault="00C25BF4" w:rsidP="00C25BF4">
      <w:pPr>
        <w:ind w:left="720"/>
        <w:rPr>
          <w:i/>
          <w:szCs w:val="24"/>
        </w:rPr>
      </w:pPr>
      <w:r w:rsidRPr="007C67FF">
        <w:rPr>
          <w:i/>
          <w:szCs w:val="24"/>
        </w:rPr>
        <w:t xml:space="preserve">The Institute believes that when the Legislature moved the authority to resolve utilization review disputes from the Board to an independent </w:t>
      </w:r>
      <w:r>
        <w:rPr>
          <w:i/>
          <w:szCs w:val="24"/>
        </w:rPr>
        <w:t xml:space="preserve">medical </w:t>
      </w:r>
      <w:r w:rsidRPr="007C67FF">
        <w:rPr>
          <w:i/>
          <w:szCs w:val="24"/>
        </w:rPr>
        <w:t>review organization, it removed applicant</w:t>
      </w:r>
      <w:r>
        <w:rPr>
          <w:i/>
          <w:szCs w:val="24"/>
        </w:rPr>
        <w:t xml:space="preserve"> attorneys from the IMR process.</w:t>
      </w:r>
      <w:r w:rsidRPr="007C67FF">
        <w:rPr>
          <w:i/>
          <w:szCs w:val="24"/>
        </w:rPr>
        <w:t xml:space="preserve">  </w:t>
      </w:r>
      <w:r w:rsidRPr="007464FB">
        <w:rPr>
          <w:i/>
          <w:szCs w:val="24"/>
        </w:rPr>
        <w:t>The statute d</w:t>
      </w:r>
      <w:r>
        <w:rPr>
          <w:i/>
          <w:szCs w:val="24"/>
        </w:rPr>
        <w:t>oes</w:t>
      </w:r>
      <w:r w:rsidRPr="007464FB">
        <w:rPr>
          <w:i/>
          <w:szCs w:val="24"/>
        </w:rPr>
        <w:t xml:space="preserve"> not authorize the Administrative Director to require applicant attorneys to be copied on notices regarding either utilization review decisions or IMR.  For example, Labor Code section 4610(g)(5) requires the employer to notify the physician and the employee if a utilization review decision can’t be made within the 5 working day/14 day/30 day/72 hour timeframes, but does not require notice to an applicant’s attorney.</w:t>
      </w:r>
      <w:r>
        <w:rPr>
          <w:i/>
          <w:szCs w:val="24"/>
        </w:rPr>
        <w:t xml:space="preserve">  </w:t>
      </w:r>
    </w:p>
    <w:p w:rsidR="00C25BF4" w:rsidRDefault="00C25BF4" w:rsidP="003B689C">
      <w:pPr>
        <w:rPr>
          <w:rFonts w:eastAsia="Calibri"/>
          <w:color w:val="auto"/>
          <w:szCs w:val="24"/>
        </w:rPr>
      </w:pPr>
    </w:p>
    <w:p w:rsidR="00E94741" w:rsidRDefault="00E94741" w:rsidP="003B689C">
      <w:pPr>
        <w:rPr>
          <w:rFonts w:eastAsia="Calibri"/>
          <w:color w:val="auto"/>
          <w:szCs w:val="24"/>
        </w:rPr>
      </w:pPr>
      <w:r>
        <w:rPr>
          <w:rFonts w:eastAsia="Calibri"/>
          <w:color w:val="auto"/>
          <w:szCs w:val="24"/>
        </w:rPr>
        <w:t xml:space="preserve">(c) Unless </w:t>
      </w:r>
      <w:r w:rsidR="001B0CB5">
        <w:rPr>
          <w:rFonts w:eastAsia="Calibri"/>
          <w:color w:val="auto"/>
          <w:szCs w:val="24"/>
        </w:rPr>
        <w:t>additional information</w:t>
      </w:r>
      <w:r>
        <w:rPr>
          <w:rFonts w:eastAsia="Calibri"/>
          <w:color w:val="auto"/>
          <w:szCs w:val="24"/>
        </w:rPr>
        <w:t xml:space="preserve"> is requested </w:t>
      </w:r>
      <w:r w:rsidR="001B0CB5">
        <w:rPr>
          <w:rFonts w:eastAsia="Calibri"/>
          <w:color w:val="auto"/>
          <w:szCs w:val="24"/>
        </w:rPr>
        <w:t>necessitating an extension under</w:t>
      </w:r>
      <w:r>
        <w:rPr>
          <w:rFonts w:eastAsia="Calibri"/>
          <w:color w:val="auto"/>
          <w:szCs w:val="24"/>
        </w:rPr>
        <w:t xml:space="preserve"> subdivision (f), the </w:t>
      </w:r>
      <w:r w:rsidR="00295F4A">
        <w:rPr>
          <w:rFonts w:eastAsia="Calibri"/>
          <w:color w:val="auto"/>
          <w:szCs w:val="24"/>
        </w:rPr>
        <w:t>utilization review process shall meet the following time requirements:</w:t>
      </w:r>
    </w:p>
    <w:p w:rsidR="00E94741" w:rsidRPr="00295F4A" w:rsidRDefault="00E94741" w:rsidP="003B689C">
      <w:pPr>
        <w:rPr>
          <w:rFonts w:eastAsia="Calibri"/>
          <w:color w:val="auto"/>
          <w:sz w:val="16"/>
          <w:szCs w:val="24"/>
        </w:rPr>
      </w:pPr>
    </w:p>
    <w:p w:rsidR="003B689C" w:rsidRPr="003B689C" w:rsidRDefault="003B689C" w:rsidP="00295F4A">
      <w:pPr>
        <w:ind w:left="360"/>
        <w:rPr>
          <w:rFonts w:eastAsia="Calibri"/>
          <w:color w:val="auto"/>
          <w:szCs w:val="24"/>
          <w:u w:val="single"/>
        </w:rPr>
      </w:pPr>
      <w:r w:rsidRPr="003B689C">
        <w:rPr>
          <w:rFonts w:eastAsia="Calibri"/>
          <w:color w:val="auto"/>
          <w:szCs w:val="24"/>
        </w:rPr>
        <w:t>(2</w:t>
      </w:r>
      <w:r w:rsidRPr="00295F4A">
        <w:rPr>
          <w:rFonts w:eastAsia="Calibri"/>
          <w:color w:val="auto"/>
          <w:szCs w:val="24"/>
        </w:rPr>
        <w:t>)</w:t>
      </w:r>
      <w:r w:rsidR="00E17588">
        <w:rPr>
          <w:rFonts w:eastAsia="Calibri"/>
          <w:color w:val="auto"/>
          <w:szCs w:val="24"/>
        </w:rPr>
        <w:t>(A)</w:t>
      </w:r>
      <w:r w:rsidR="00295F4A">
        <w:rPr>
          <w:rFonts w:eastAsia="Calibri"/>
          <w:color w:val="auto"/>
          <w:szCs w:val="24"/>
        </w:rPr>
        <w:t xml:space="preserve"> </w:t>
      </w:r>
      <w:r w:rsidR="007D6591">
        <w:rPr>
          <w:rFonts w:eastAsia="Calibri"/>
          <w:color w:val="auto"/>
          <w:szCs w:val="24"/>
        </w:rPr>
        <w:t>U</w:t>
      </w:r>
      <w:r w:rsidR="00E17588" w:rsidRPr="009767A4">
        <w:rPr>
          <w:rFonts w:eastAsia="Calibri"/>
          <w:color w:val="auto"/>
          <w:szCs w:val="24"/>
        </w:rPr>
        <w:t xml:space="preserve">pon receipt of </w:t>
      </w:r>
      <w:r w:rsidR="00E17588" w:rsidRPr="002D5D81">
        <w:rPr>
          <w:rFonts w:eastAsia="Calibri"/>
          <w:color w:val="auto"/>
          <w:szCs w:val="24"/>
        </w:rPr>
        <w:t xml:space="preserve">a </w:t>
      </w:r>
      <w:r w:rsidR="00E17588" w:rsidRPr="006E1381">
        <w:rPr>
          <w:rFonts w:eastAsia="Calibri"/>
          <w:b/>
          <w:strike/>
          <w:color w:val="auto"/>
          <w:szCs w:val="24"/>
          <w:highlight w:val="yellow"/>
        </w:rPr>
        <w:t>request for authorization as described in subdivision (c)(2</w:t>
      </w:r>
      <w:r w:rsidR="006E1381" w:rsidRPr="006E1381">
        <w:rPr>
          <w:rFonts w:eastAsia="Calibri"/>
          <w:b/>
          <w:strike/>
          <w:color w:val="auto"/>
          <w:szCs w:val="24"/>
          <w:highlight w:val="yellow"/>
        </w:rPr>
        <w:t>)(B), or a</w:t>
      </w:r>
      <w:r w:rsidR="006E1381">
        <w:rPr>
          <w:rFonts w:eastAsia="Calibri"/>
          <w:b/>
          <w:strike/>
          <w:color w:val="auto"/>
          <w:szCs w:val="24"/>
        </w:rPr>
        <w:t xml:space="preserve"> </w:t>
      </w:r>
      <w:r w:rsidRPr="003B689C">
        <w:rPr>
          <w:rFonts w:eastAsia="Calibri"/>
          <w:color w:val="auto"/>
          <w:szCs w:val="24"/>
        </w:rPr>
        <w:t xml:space="preserve">DWC Form RFA </w:t>
      </w:r>
      <w:r w:rsidR="006E1381">
        <w:rPr>
          <w:rFonts w:eastAsia="Calibri"/>
          <w:color w:val="auto"/>
          <w:szCs w:val="24"/>
        </w:rPr>
        <w:t xml:space="preserve">that </w:t>
      </w:r>
      <w:r w:rsidRPr="003B689C">
        <w:rPr>
          <w:rFonts w:eastAsia="Calibri"/>
          <w:color w:val="auto"/>
          <w:szCs w:val="24"/>
        </w:rPr>
        <w:t xml:space="preserve">does not identify the employee or provider, does not identify a recommended treatment, </w:t>
      </w:r>
      <w:r w:rsidR="002D5D81">
        <w:rPr>
          <w:rFonts w:eastAsia="Calibri"/>
          <w:color w:val="auto"/>
          <w:szCs w:val="24"/>
        </w:rPr>
        <w:t xml:space="preserve">is not accompanied by documentation substantiating the medical necessity for the requested treatment, </w:t>
      </w:r>
      <w:r w:rsidRPr="003B689C">
        <w:rPr>
          <w:rFonts w:eastAsia="Calibri"/>
          <w:color w:val="auto"/>
          <w:szCs w:val="24"/>
        </w:rPr>
        <w:t xml:space="preserve">or is not signed by the </w:t>
      </w:r>
      <w:r w:rsidRPr="00855183">
        <w:rPr>
          <w:rFonts w:eastAsia="Calibri"/>
          <w:color w:val="auto"/>
          <w:szCs w:val="24"/>
        </w:rPr>
        <w:t>requesting</w:t>
      </w:r>
      <w:r w:rsidRPr="007D6591">
        <w:rPr>
          <w:rFonts w:eastAsia="Calibri"/>
          <w:color w:val="auto"/>
          <w:szCs w:val="24"/>
        </w:rPr>
        <w:t xml:space="preserve"> </w:t>
      </w:r>
      <w:r w:rsidRPr="003B689C">
        <w:rPr>
          <w:rFonts w:eastAsia="Calibri"/>
          <w:color w:val="auto"/>
          <w:szCs w:val="24"/>
        </w:rPr>
        <w:t>physician, a non-physician reviewer as allowed by section 9792.7 or reviewer must either</w:t>
      </w:r>
      <w:r w:rsidR="00855183">
        <w:rPr>
          <w:rFonts w:eastAsia="Calibri"/>
          <w:color w:val="auto"/>
          <w:szCs w:val="24"/>
        </w:rPr>
        <w:t xml:space="preserve"> </w:t>
      </w:r>
      <w:r w:rsidRPr="00855183">
        <w:rPr>
          <w:rFonts w:eastAsia="Calibri"/>
          <w:color w:val="auto"/>
          <w:szCs w:val="24"/>
        </w:rPr>
        <w:t>regard</w:t>
      </w:r>
      <w:r w:rsidRPr="00855183">
        <w:rPr>
          <w:rFonts w:eastAsia="Calibri"/>
          <w:b/>
          <w:color w:val="auto"/>
          <w:szCs w:val="24"/>
        </w:rPr>
        <w:t xml:space="preserve"> </w:t>
      </w:r>
      <w:r w:rsidRPr="003B689C">
        <w:rPr>
          <w:rFonts w:eastAsia="Calibri"/>
          <w:color w:val="auto"/>
          <w:szCs w:val="24"/>
        </w:rPr>
        <w:t>the request</w:t>
      </w:r>
      <w:r w:rsidRPr="003B689C">
        <w:rPr>
          <w:rFonts w:eastAsia="Calibri"/>
          <w:b/>
          <w:color w:val="auto"/>
          <w:szCs w:val="24"/>
        </w:rPr>
        <w:t xml:space="preserve"> </w:t>
      </w:r>
      <w:r w:rsidRPr="003B689C">
        <w:rPr>
          <w:rFonts w:eastAsia="Calibri"/>
          <w:color w:val="auto"/>
          <w:szCs w:val="24"/>
        </w:rPr>
        <w:t>as a</w:t>
      </w:r>
      <w:r w:rsidRPr="003B689C">
        <w:rPr>
          <w:rFonts w:eastAsia="Calibri"/>
          <w:b/>
          <w:color w:val="auto"/>
          <w:szCs w:val="24"/>
        </w:rPr>
        <w:t xml:space="preserve"> </w:t>
      </w:r>
      <w:r w:rsidRPr="003B689C">
        <w:rPr>
          <w:rFonts w:eastAsia="Calibri"/>
          <w:color w:val="auto"/>
          <w:szCs w:val="24"/>
        </w:rPr>
        <w:t>complete DWC Form RFA</w:t>
      </w:r>
      <w:r w:rsidRPr="003B689C">
        <w:rPr>
          <w:rFonts w:eastAsia="Calibri"/>
          <w:b/>
          <w:color w:val="auto"/>
          <w:szCs w:val="24"/>
        </w:rPr>
        <w:t xml:space="preserve"> </w:t>
      </w:r>
      <w:r w:rsidRPr="003B689C">
        <w:rPr>
          <w:rFonts w:eastAsia="Calibri"/>
          <w:color w:val="auto"/>
          <w:szCs w:val="24"/>
        </w:rPr>
        <w:t>and comply with the timeframes for decision set forth in this section or return it to the requesting physician marked “not complete</w:t>
      </w:r>
      <w:r w:rsidRPr="003B689C">
        <w:rPr>
          <w:rFonts w:eastAsia="Calibri"/>
          <w:b/>
          <w:color w:val="auto"/>
          <w:szCs w:val="24"/>
        </w:rPr>
        <w:t>,</w:t>
      </w:r>
      <w:r w:rsidRPr="003B689C">
        <w:rPr>
          <w:rFonts w:eastAsia="Calibri"/>
          <w:color w:val="auto"/>
          <w:szCs w:val="24"/>
        </w:rPr>
        <w:t>” specifying the reasons for the return of the request</w:t>
      </w:r>
      <w:r w:rsidRPr="003B689C">
        <w:rPr>
          <w:rFonts w:eastAsia="Calibri"/>
          <w:b/>
          <w:color w:val="auto"/>
          <w:szCs w:val="24"/>
        </w:rPr>
        <w:t xml:space="preserve">, </w:t>
      </w:r>
      <w:r w:rsidRPr="003B689C">
        <w:rPr>
          <w:rFonts w:eastAsia="Calibri"/>
          <w:color w:val="auto"/>
          <w:szCs w:val="24"/>
        </w:rPr>
        <w:t xml:space="preserve">no later </w:t>
      </w:r>
      <w:r w:rsidRPr="00855183">
        <w:rPr>
          <w:rFonts w:eastAsia="Calibri"/>
          <w:color w:val="auto"/>
          <w:szCs w:val="24"/>
        </w:rPr>
        <w:t>than five (5)</w:t>
      </w:r>
      <w:r w:rsidR="00855183">
        <w:rPr>
          <w:rFonts w:eastAsia="Calibri"/>
          <w:color w:val="auto"/>
          <w:szCs w:val="24"/>
        </w:rPr>
        <w:t xml:space="preserve"> </w:t>
      </w:r>
      <w:r w:rsidRPr="003B689C">
        <w:rPr>
          <w:rFonts w:eastAsia="Calibri"/>
          <w:color w:val="auto"/>
          <w:szCs w:val="24"/>
        </w:rPr>
        <w:t xml:space="preserve">business days from receipt.  The timeframe for a decision on </w:t>
      </w:r>
      <w:r w:rsidR="00855183">
        <w:rPr>
          <w:rFonts w:eastAsia="Calibri"/>
          <w:color w:val="auto"/>
          <w:szCs w:val="24"/>
        </w:rPr>
        <w:t>a</w:t>
      </w:r>
      <w:r w:rsidRPr="003B689C">
        <w:rPr>
          <w:rFonts w:eastAsia="Calibri"/>
          <w:color w:val="auto"/>
          <w:szCs w:val="24"/>
        </w:rPr>
        <w:t xml:space="preserve"> returned request for authorization shall begin anew upon receipt of a completed DWC Form RFA.</w:t>
      </w:r>
    </w:p>
    <w:p w:rsidR="003B689C" w:rsidRPr="003B689C" w:rsidRDefault="003B689C" w:rsidP="003B689C">
      <w:pPr>
        <w:rPr>
          <w:rFonts w:eastAsia="Calibri"/>
          <w:color w:val="auto"/>
          <w:szCs w:val="24"/>
          <w:u w:val="single"/>
        </w:rPr>
      </w:pPr>
    </w:p>
    <w:p w:rsidR="005D3C1D" w:rsidRDefault="00794364" w:rsidP="003B689C">
      <w:pPr>
        <w:ind w:left="720"/>
        <w:rPr>
          <w:rFonts w:eastAsia="Calibri"/>
          <w:i/>
          <w:color w:val="auto"/>
          <w:szCs w:val="24"/>
        </w:rPr>
      </w:pPr>
      <w:r>
        <w:rPr>
          <w:rFonts w:eastAsia="Calibri"/>
          <w:i/>
          <w:color w:val="auto"/>
          <w:szCs w:val="24"/>
        </w:rPr>
        <w:lastRenderedPageBreak/>
        <w:t>I</w:t>
      </w:r>
      <w:r w:rsidR="0022175D">
        <w:rPr>
          <w:rFonts w:eastAsia="Calibri"/>
          <w:i/>
          <w:color w:val="auto"/>
          <w:szCs w:val="24"/>
        </w:rPr>
        <w:t>t is the responsibility</w:t>
      </w:r>
      <w:r w:rsidR="003B689C" w:rsidRPr="003B689C">
        <w:rPr>
          <w:rFonts w:eastAsia="Calibri"/>
          <w:i/>
          <w:color w:val="auto"/>
          <w:szCs w:val="24"/>
        </w:rPr>
        <w:t xml:space="preserve"> of the treating physician to submit a complete request for authorization to ensure the provision of timely medical treatment to his or her patient.  At a minimum</w:t>
      </w:r>
      <w:r w:rsidR="00776F66">
        <w:rPr>
          <w:rFonts w:eastAsia="Calibri"/>
          <w:i/>
          <w:color w:val="auto"/>
          <w:szCs w:val="24"/>
        </w:rPr>
        <w:t>,</w:t>
      </w:r>
      <w:r w:rsidR="003B689C" w:rsidRPr="003B689C">
        <w:rPr>
          <w:rFonts w:eastAsia="Calibri"/>
          <w:i/>
          <w:color w:val="auto"/>
          <w:szCs w:val="24"/>
        </w:rPr>
        <w:t xml:space="preserve"> the physician must submit the request on the required form, identify the employee, provider and recommended treatment, and sign the </w:t>
      </w:r>
      <w:r w:rsidR="00C632B3" w:rsidRPr="003B689C">
        <w:rPr>
          <w:rFonts w:eastAsia="Calibri"/>
          <w:i/>
          <w:color w:val="auto"/>
          <w:szCs w:val="24"/>
        </w:rPr>
        <w:t>form</w:t>
      </w:r>
      <w:r w:rsidR="00C632B3">
        <w:rPr>
          <w:rFonts w:eastAsia="Calibri"/>
          <w:i/>
          <w:color w:val="auto"/>
          <w:szCs w:val="24"/>
        </w:rPr>
        <w:t>;</w:t>
      </w:r>
      <w:r w:rsidR="003A3D77">
        <w:rPr>
          <w:rFonts w:eastAsia="Calibri"/>
          <w:i/>
          <w:color w:val="auto"/>
          <w:szCs w:val="24"/>
        </w:rPr>
        <w:t xml:space="preserve"> however, to avoid the delay and additional expenses associated with requesting </w:t>
      </w:r>
      <w:r w:rsidR="00753215">
        <w:rPr>
          <w:rFonts w:eastAsia="Calibri"/>
          <w:i/>
          <w:color w:val="auto"/>
          <w:szCs w:val="24"/>
        </w:rPr>
        <w:t xml:space="preserve">and waiting for </w:t>
      </w:r>
      <w:r w:rsidR="003A3D77">
        <w:rPr>
          <w:rFonts w:eastAsia="Calibri"/>
          <w:i/>
          <w:color w:val="auto"/>
          <w:szCs w:val="24"/>
        </w:rPr>
        <w:t xml:space="preserve">missing </w:t>
      </w:r>
      <w:r w:rsidR="00753215">
        <w:rPr>
          <w:rFonts w:eastAsia="Calibri"/>
          <w:i/>
          <w:color w:val="auto"/>
          <w:szCs w:val="24"/>
        </w:rPr>
        <w:t>information</w:t>
      </w:r>
      <w:r w:rsidR="003A3D77">
        <w:rPr>
          <w:rFonts w:eastAsia="Calibri"/>
          <w:i/>
          <w:color w:val="auto"/>
          <w:szCs w:val="24"/>
        </w:rPr>
        <w:t xml:space="preserve">, the Institute suggests the Administrative Director require </w:t>
      </w:r>
      <w:r w:rsidR="00F97AFC">
        <w:rPr>
          <w:rFonts w:eastAsia="Calibri"/>
          <w:i/>
          <w:color w:val="auto"/>
          <w:szCs w:val="24"/>
        </w:rPr>
        <w:t>a request for authorization</w:t>
      </w:r>
      <w:r w:rsidR="003A3D77">
        <w:rPr>
          <w:rFonts w:eastAsia="Calibri"/>
          <w:i/>
          <w:color w:val="auto"/>
          <w:szCs w:val="24"/>
        </w:rPr>
        <w:t xml:space="preserve"> to be complete</w:t>
      </w:r>
      <w:r w:rsidR="003B689C" w:rsidRPr="003B689C">
        <w:rPr>
          <w:rFonts w:eastAsia="Calibri"/>
          <w:i/>
          <w:color w:val="auto"/>
          <w:szCs w:val="24"/>
        </w:rPr>
        <w:t xml:space="preserve">.  </w:t>
      </w:r>
      <w:r w:rsidR="00F97AFC">
        <w:rPr>
          <w:rFonts w:eastAsia="Calibri"/>
          <w:i/>
          <w:color w:val="auto"/>
          <w:szCs w:val="24"/>
        </w:rPr>
        <w:t xml:space="preserve">It is unreasonable to delay the injured employee’s medical care </w:t>
      </w:r>
      <w:r w:rsidR="005D3C1D">
        <w:rPr>
          <w:rFonts w:eastAsia="Calibri"/>
          <w:i/>
          <w:color w:val="auto"/>
          <w:szCs w:val="24"/>
        </w:rPr>
        <w:t xml:space="preserve">and to </w:t>
      </w:r>
      <w:r w:rsidR="00F97AFC">
        <w:rPr>
          <w:rFonts w:eastAsia="Calibri"/>
          <w:i/>
          <w:color w:val="auto"/>
          <w:szCs w:val="24"/>
        </w:rPr>
        <w:t>penalize t</w:t>
      </w:r>
      <w:r w:rsidR="00753215">
        <w:rPr>
          <w:rFonts w:eastAsia="Calibri"/>
          <w:i/>
          <w:color w:val="auto"/>
          <w:szCs w:val="24"/>
        </w:rPr>
        <w:t xml:space="preserve">he claims </w:t>
      </w:r>
      <w:r w:rsidR="00C632B3">
        <w:rPr>
          <w:rFonts w:eastAsia="Calibri"/>
          <w:i/>
          <w:color w:val="auto"/>
          <w:szCs w:val="24"/>
        </w:rPr>
        <w:t>administrator</w:t>
      </w:r>
      <w:r w:rsidR="00F97AFC">
        <w:rPr>
          <w:rFonts w:eastAsia="Calibri"/>
          <w:i/>
          <w:color w:val="auto"/>
          <w:szCs w:val="24"/>
        </w:rPr>
        <w:t xml:space="preserve"> </w:t>
      </w:r>
      <w:r w:rsidR="005D3C1D">
        <w:rPr>
          <w:rFonts w:eastAsia="Calibri"/>
          <w:i/>
          <w:color w:val="auto"/>
          <w:szCs w:val="24"/>
        </w:rPr>
        <w:t>for a delay caused by</w:t>
      </w:r>
      <w:r w:rsidR="00F97AFC">
        <w:rPr>
          <w:rFonts w:eastAsia="Calibri"/>
          <w:i/>
          <w:color w:val="auto"/>
          <w:szCs w:val="24"/>
        </w:rPr>
        <w:t xml:space="preserve"> the physician</w:t>
      </w:r>
      <w:r w:rsidR="005D3C1D">
        <w:rPr>
          <w:rFonts w:eastAsia="Calibri"/>
          <w:i/>
          <w:color w:val="auto"/>
          <w:szCs w:val="24"/>
        </w:rPr>
        <w:t>’s</w:t>
      </w:r>
      <w:r w:rsidR="00F97AFC">
        <w:rPr>
          <w:rFonts w:eastAsia="Calibri"/>
          <w:i/>
          <w:color w:val="auto"/>
          <w:szCs w:val="24"/>
        </w:rPr>
        <w:t xml:space="preserve"> fail</w:t>
      </w:r>
      <w:r w:rsidR="005D3C1D">
        <w:rPr>
          <w:rFonts w:eastAsia="Calibri"/>
          <w:i/>
          <w:color w:val="auto"/>
          <w:szCs w:val="24"/>
        </w:rPr>
        <w:t>ure to provide necessary information.</w:t>
      </w:r>
      <w:r w:rsidR="00C632B3">
        <w:rPr>
          <w:rFonts w:eastAsia="Calibri"/>
          <w:i/>
          <w:color w:val="auto"/>
          <w:szCs w:val="24"/>
        </w:rPr>
        <w:t xml:space="preserve"> </w:t>
      </w:r>
      <w:r w:rsidR="003B689C" w:rsidRPr="003B689C">
        <w:rPr>
          <w:rFonts w:eastAsia="Calibri"/>
          <w:i/>
          <w:color w:val="auto"/>
          <w:szCs w:val="24"/>
        </w:rPr>
        <w:t xml:space="preserve">  </w:t>
      </w:r>
    </w:p>
    <w:p w:rsidR="005D3C1D" w:rsidRDefault="005D3C1D" w:rsidP="003B689C">
      <w:pPr>
        <w:ind w:left="720"/>
        <w:rPr>
          <w:rFonts w:eastAsia="Calibri"/>
          <w:i/>
          <w:color w:val="auto"/>
          <w:szCs w:val="24"/>
        </w:rPr>
      </w:pPr>
    </w:p>
    <w:p w:rsidR="003B689C" w:rsidRPr="003B689C" w:rsidRDefault="005D3C1D" w:rsidP="003B689C">
      <w:pPr>
        <w:ind w:left="720"/>
        <w:rPr>
          <w:rFonts w:eastAsia="Calibri"/>
          <w:i/>
          <w:color w:val="auto"/>
          <w:szCs w:val="24"/>
        </w:rPr>
      </w:pPr>
      <w:r>
        <w:rPr>
          <w:rFonts w:eastAsia="Calibri"/>
          <w:i/>
          <w:color w:val="auto"/>
          <w:szCs w:val="24"/>
        </w:rPr>
        <w:t>A</w:t>
      </w:r>
      <w:r w:rsidR="0022175D">
        <w:rPr>
          <w:rFonts w:eastAsia="Calibri"/>
          <w:i/>
          <w:color w:val="auto"/>
          <w:szCs w:val="24"/>
        </w:rPr>
        <w:t>nd a</w:t>
      </w:r>
      <w:r>
        <w:rPr>
          <w:rFonts w:eastAsia="Calibri"/>
          <w:i/>
          <w:color w:val="auto"/>
          <w:szCs w:val="24"/>
        </w:rPr>
        <w:t>s discussed in the introduction and in other comments, if requests for authorization are not confined to a standard form</w:t>
      </w:r>
      <w:r w:rsidR="00D7556E">
        <w:rPr>
          <w:rFonts w:eastAsia="Calibri"/>
          <w:i/>
          <w:color w:val="auto"/>
          <w:szCs w:val="24"/>
        </w:rPr>
        <w:t>, then it</w:t>
      </w:r>
      <w:r>
        <w:rPr>
          <w:rFonts w:eastAsia="Calibri"/>
          <w:i/>
          <w:color w:val="auto"/>
          <w:szCs w:val="24"/>
        </w:rPr>
        <w:t xml:space="preserve"> may not be </w:t>
      </w:r>
      <w:r w:rsidR="00D7556E">
        <w:rPr>
          <w:rFonts w:eastAsia="Calibri"/>
          <w:i/>
          <w:color w:val="auto"/>
          <w:szCs w:val="24"/>
        </w:rPr>
        <w:t xml:space="preserve">possible to </w:t>
      </w:r>
      <w:r>
        <w:rPr>
          <w:rFonts w:eastAsia="Calibri"/>
          <w:i/>
          <w:color w:val="auto"/>
          <w:szCs w:val="24"/>
        </w:rPr>
        <w:t>identif</w:t>
      </w:r>
      <w:r w:rsidR="00D7556E">
        <w:rPr>
          <w:rFonts w:eastAsia="Calibri"/>
          <w:i/>
          <w:color w:val="auto"/>
          <w:szCs w:val="24"/>
        </w:rPr>
        <w:t>y it</w:t>
      </w:r>
      <w:r>
        <w:rPr>
          <w:rFonts w:eastAsia="Calibri"/>
          <w:i/>
          <w:color w:val="auto"/>
          <w:szCs w:val="24"/>
        </w:rPr>
        <w:t xml:space="preserve"> within five working days, </w:t>
      </w:r>
      <w:r w:rsidR="002E1A19">
        <w:rPr>
          <w:rFonts w:eastAsia="Calibri"/>
          <w:i/>
          <w:color w:val="auto"/>
          <w:szCs w:val="24"/>
        </w:rPr>
        <w:t>if</w:t>
      </w:r>
      <w:r>
        <w:rPr>
          <w:rFonts w:eastAsia="Calibri"/>
          <w:i/>
          <w:color w:val="auto"/>
          <w:szCs w:val="24"/>
        </w:rPr>
        <w:t xml:space="preserve"> at all.</w:t>
      </w:r>
    </w:p>
    <w:p w:rsidR="003B689C" w:rsidRPr="003B689C" w:rsidRDefault="003B689C" w:rsidP="003B689C">
      <w:pPr>
        <w:ind w:left="720"/>
        <w:rPr>
          <w:rFonts w:eastAsia="Calibri"/>
          <w:i/>
          <w:color w:val="auto"/>
          <w:szCs w:val="24"/>
        </w:rPr>
      </w:pPr>
    </w:p>
    <w:p w:rsidR="002D336A" w:rsidRPr="002D336A" w:rsidRDefault="002D336A" w:rsidP="002D336A">
      <w:pPr>
        <w:rPr>
          <w:rFonts w:eastAsia="Calibri"/>
          <w:color w:val="auto"/>
          <w:szCs w:val="24"/>
        </w:rPr>
      </w:pPr>
      <w:r w:rsidRPr="002D336A">
        <w:rPr>
          <w:rFonts w:eastAsia="Calibri"/>
          <w:color w:val="auto"/>
          <w:szCs w:val="24"/>
        </w:rPr>
        <w:t xml:space="preserve">(d) Decisions to approve a request for authorization.  </w:t>
      </w:r>
    </w:p>
    <w:p w:rsidR="002D336A" w:rsidRPr="002D336A" w:rsidRDefault="002D336A" w:rsidP="002D336A">
      <w:pPr>
        <w:rPr>
          <w:rFonts w:eastAsia="Calibri"/>
          <w:color w:val="auto"/>
          <w:szCs w:val="24"/>
        </w:rPr>
      </w:pPr>
      <w:r w:rsidRPr="002D336A">
        <w:rPr>
          <w:rFonts w:eastAsia="Calibri"/>
          <w:color w:val="auto"/>
          <w:szCs w:val="24"/>
        </w:rPr>
        <w:t>….</w:t>
      </w:r>
    </w:p>
    <w:p w:rsidR="002D336A" w:rsidRPr="002D336A" w:rsidRDefault="002D336A" w:rsidP="002D336A">
      <w:pPr>
        <w:rPr>
          <w:rFonts w:eastAsia="Calibri"/>
          <w:color w:val="auto"/>
          <w:szCs w:val="24"/>
        </w:rPr>
      </w:pPr>
      <w:r w:rsidRPr="002D336A">
        <w:rPr>
          <w:rFonts w:eastAsia="Calibri"/>
          <w:color w:val="auto"/>
          <w:szCs w:val="24"/>
        </w:rPr>
        <w:t>(3)(A) For retrospective review, a written decision to approve shall be communicated to the requesting physician who provided the medical services and to the individual who received the medical services</w:t>
      </w:r>
      <w:r w:rsidRPr="002D336A">
        <w:rPr>
          <w:rFonts w:eastAsia="Calibri"/>
          <w:strike/>
          <w:color w:val="auto"/>
          <w:szCs w:val="24"/>
          <w:highlight w:val="yellow"/>
        </w:rPr>
        <w:t>, and his or her attorney/designee, if applicable</w:t>
      </w:r>
      <w:r w:rsidRPr="002D336A">
        <w:rPr>
          <w:rFonts w:eastAsia="Calibri"/>
          <w:color w:val="auto"/>
          <w:szCs w:val="24"/>
        </w:rPr>
        <w:t xml:space="preserve">.  </w:t>
      </w:r>
    </w:p>
    <w:p w:rsidR="002D336A" w:rsidRPr="002D336A" w:rsidRDefault="002D336A" w:rsidP="002D336A">
      <w:pPr>
        <w:rPr>
          <w:rFonts w:eastAsia="Calibri"/>
          <w:color w:val="auto"/>
          <w:szCs w:val="24"/>
        </w:rPr>
      </w:pPr>
    </w:p>
    <w:p w:rsidR="002D336A" w:rsidRPr="002D336A" w:rsidRDefault="002D336A" w:rsidP="002D336A">
      <w:pPr>
        <w:rPr>
          <w:rFonts w:eastAsia="Calibri"/>
          <w:color w:val="auto"/>
          <w:szCs w:val="24"/>
        </w:rPr>
      </w:pPr>
      <w:r w:rsidRPr="002D336A">
        <w:rPr>
          <w:rFonts w:eastAsia="Calibri"/>
          <w:color w:val="auto"/>
          <w:szCs w:val="24"/>
        </w:rPr>
        <w:t xml:space="preserve">(B) Payment, or partial payment consistent with the provisions of California Code of Regulations, title 8, section 9792.5, of a medical bill for services requested on the DWC Form RFA, within the 30-day timeframe set forth in subdivision (c)(5), shall be deemed a retrospective approval, even if a portion of the medical bill for the requested services is contested, denied, or considered incomplete.  A document indicating that a payment has been made for the requested services, such as an explanation of review, may be provided to the injured employee who received the medical services, </w:t>
      </w:r>
      <w:r w:rsidRPr="002D336A">
        <w:rPr>
          <w:rFonts w:eastAsia="Calibri"/>
          <w:strike/>
          <w:color w:val="auto"/>
          <w:szCs w:val="24"/>
          <w:highlight w:val="yellow"/>
        </w:rPr>
        <w:t>and his or her attorney/designee</w:t>
      </w:r>
      <w:r w:rsidRPr="00B742A2">
        <w:rPr>
          <w:rFonts w:eastAsia="Calibri"/>
          <w:strike/>
          <w:color w:val="auto"/>
          <w:szCs w:val="24"/>
          <w:highlight w:val="yellow"/>
        </w:rPr>
        <w:t>,</w:t>
      </w:r>
      <w:r w:rsidRPr="00702C90">
        <w:rPr>
          <w:rFonts w:eastAsia="Calibri"/>
          <w:strike/>
          <w:color w:val="auto"/>
          <w:szCs w:val="24"/>
          <w:highlight w:val="yellow"/>
        </w:rPr>
        <w:t xml:space="preserve"> if applicable</w:t>
      </w:r>
      <w:r w:rsidRPr="00702C90">
        <w:rPr>
          <w:rFonts w:eastAsia="Calibri"/>
          <w:color w:val="auto"/>
          <w:szCs w:val="24"/>
          <w:highlight w:val="yellow"/>
        </w:rPr>
        <w:t>,</w:t>
      </w:r>
      <w:r w:rsidRPr="002D336A">
        <w:rPr>
          <w:rFonts w:eastAsia="Calibri"/>
          <w:color w:val="auto"/>
          <w:szCs w:val="24"/>
        </w:rPr>
        <w:t xml:space="preserve"> in lieu of a communication expressly acknowledging the retrospective approval.</w:t>
      </w:r>
    </w:p>
    <w:p w:rsidR="002D336A" w:rsidRDefault="002D336A" w:rsidP="00256145">
      <w:pPr>
        <w:rPr>
          <w:szCs w:val="24"/>
        </w:rPr>
      </w:pPr>
    </w:p>
    <w:p w:rsidR="00BE2C7C" w:rsidRPr="00732FF9" w:rsidRDefault="00BE2C7C" w:rsidP="00BE2C7C">
      <w:pPr>
        <w:ind w:left="720"/>
        <w:rPr>
          <w:i/>
          <w:szCs w:val="24"/>
        </w:rPr>
      </w:pPr>
      <w:r w:rsidRPr="007C67FF">
        <w:rPr>
          <w:i/>
          <w:szCs w:val="24"/>
        </w:rPr>
        <w:t xml:space="preserve">The Institute believes that when the Legislature moved the authority to resolve utilization review disputes from the Board to an independent </w:t>
      </w:r>
      <w:r>
        <w:rPr>
          <w:i/>
          <w:szCs w:val="24"/>
        </w:rPr>
        <w:t xml:space="preserve">medical </w:t>
      </w:r>
      <w:r w:rsidRPr="007C67FF">
        <w:rPr>
          <w:i/>
          <w:szCs w:val="24"/>
        </w:rPr>
        <w:t>review organization, it removed applicant</w:t>
      </w:r>
      <w:r>
        <w:rPr>
          <w:i/>
          <w:szCs w:val="24"/>
        </w:rPr>
        <w:t xml:space="preserve"> attorneys from the IMR process.</w:t>
      </w:r>
      <w:r w:rsidRPr="007C67FF">
        <w:rPr>
          <w:i/>
          <w:szCs w:val="24"/>
        </w:rPr>
        <w:t xml:space="preserve">  </w:t>
      </w:r>
      <w:r w:rsidRPr="007464FB">
        <w:rPr>
          <w:i/>
          <w:szCs w:val="24"/>
        </w:rPr>
        <w:t>The statute d</w:t>
      </w:r>
      <w:r>
        <w:rPr>
          <w:i/>
          <w:szCs w:val="24"/>
        </w:rPr>
        <w:t>oes</w:t>
      </w:r>
      <w:r w:rsidRPr="007464FB">
        <w:rPr>
          <w:i/>
          <w:szCs w:val="24"/>
        </w:rPr>
        <w:t xml:space="preserve"> not authorize the Administrative Director to require applicant attorneys to be copied on notices regarding either utilization review decisions or IMR.  For example, Labor Code section 4610(g)(5) requires the employer to notify the physician and the employee if a utilization review decision can’t be made within the 5 working day/14 day/30 day/72 hour timeframes, but does not require notice to an applicant’s attorney.</w:t>
      </w:r>
      <w:r>
        <w:rPr>
          <w:i/>
          <w:szCs w:val="24"/>
        </w:rPr>
        <w:t xml:space="preserve">  </w:t>
      </w:r>
    </w:p>
    <w:p w:rsidR="002D336A" w:rsidRDefault="002D336A" w:rsidP="00256145">
      <w:pPr>
        <w:rPr>
          <w:szCs w:val="24"/>
        </w:rPr>
      </w:pPr>
    </w:p>
    <w:p w:rsidR="00256145" w:rsidRPr="00F5180B" w:rsidRDefault="00256145" w:rsidP="00256145">
      <w:pPr>
        <w:rPr>
          <w:szCs w:val="24"/>
        </w:rPr>
      </w:pPr>
      <w:r w:rsidRPr="00F5180B">
        <w:rPr>
          <w:szCs w:val="24"/>
        </w:rPr>
        <w:t>(e) Decisions to modify, delay, or deny a request for authorization.</w:t>
      </w:r>
    </w:p>
    <w:p w:rsidR="00256145" w:rsidRPr="00F5180B" w:rsidRDefault="00F5180B" w:rsidP="00256145">
      <w:pPr>
        <w:rPr>
          <w:szCs w:val="24"/>
        </w:rPr>
      </w:pPr>
      <w:r w:rsidRPr="00F5180B">
        <w:rPr>
          <w:szCs w:val="24"/>
        </w:rPr>
        <w:t>…</w:t>
      </w:r>
    </w:p>
    <w:p w:rsidR="00256145" w:rsidRPr="00F5180B" w:rsidRDefault="00256145" w:rsidP="00256145">
      <w:pPr>
        <w:rPr>
          <w:szCs w:val="24"/>
        </w:rPr>
      </w:pPr>
      <w:r w:rsidRPr="00F5180B">
        <w:rPr>
          <w:szCs w:val="24"/>
        </w:rPr>
        <w:t xml:space="preserve">(3) For prospective, concurrent, or expedited review, a decision to modify, delay, or deny shall be communicated to the requesting physician within 24 hours of the decision, and shall be communicated to the requesting physician initially by telephone, facsimile, or electronic mail. The communication by telephone shall be followed by written notice to </w:t>
      </w:r>
      <w:r w:rsidRPr="00F5180B">
        <w:rPr>
          <w:szCs w:val="24"/>
        </w:rPr>
        <w:lastRenderedPageBreak/>
        <w:t>the requesting physician</w:t>
      </w:r>
      <w:r w:rsidRPr="00F5180B">
        <w:rPr>
          <w:b/>
          <w:strike/>
          <w:szCs w:val="24"/>
          <w:highlight w:val="yellow"/>
        </w:rPr>
        <w:t>,</w:t>
      </w:r>
      <w:r w:rsidRPr="00F5180B">
        <w:rPr>
          <w:b/>
          <w:szCs w:val="24"/>
        </w:rPr>
        <w:t xml:space="preserve"> </w:t>
      </w:r>
      <w:r w:rsidR="00F5180B" w:rsidRPr="00F5180B">
        <w:rPr>
          <w:szCs w:val="24"/>
          <w:highlight w:val="yellow"/>
          <w:u w:val="single"/>
        </w:rPr>
        <w:t>and</w:t>
      </w:r>
      <w:r w:rsidR="00F5180B">
        <w:rPr>
          <w:b/>
          <w:szCs w:val="24"/>
          <w:u w:val="single"/>
        </w:rPr>
        <w:t xml:space="preserve"> </w:t>
      </w:r>
      <w:r w:rsidRPr="00F5180B">
        <w:rPr>
          <w:szCs w:val="24"/>
        </w:rPr>
        <w:t>the injured worker</w:t>
      </w:r>
      <w:r w:rsidRPr="002C55B8">
        <w:rPr>
          <w:strike/>
          <w:szCs w:val="24"/>
          <w:highlight w:val="yellow"/>
        </w:rPr>
        <w:t>, and if the injured worker is represented by counsel, the injured worker's attorney</w:t>
      </w:r>
      <w:r w:rsidRPr="00F5180B">
        <w:rPr>
          <w:szCs w:val="24"/>
        </w:rPr>
        <w:t xml:space="preserve"> within 24 hours of the decision for concurrent review and within two (2) business days for prospective review and for expedited review within 72 hours of receipt of the request. </w:t>
      </w:r>
    </w:p>
    <w:p w:rsidR="00256145" w:rsidRDefault="00256145" w:rsidP="00256145">
      <w:pPr>
        <w:rPr>
          <w:szCs w:val="24"/>
          <w:u w:val="single"/>
        </w:rPr>
      </w:pPr>
    </w:p>
    <w:p w:rsidR="00027151" w:rsidRPr="00027151" w:rsidRDefault="00027151" w:rsidP="00027151">
      <w:pPr>
        <w:rPr>
          <w:rFonts w:eastAsia="Calibri"/>
          <w:color w:val="auto"/>
          <w:szCs w:val="24"/>
        </w:rPr>
      </w:pPr>
      <w:r w:rsidRPr="00027151">
        <w:rPr>
          <w:rFonts w:eastAsia="Calibri"/>
          <w:color w:val="auto"/>
          <w:szCs w:val="24"/>
        </w:rPr>
        <w:t>(4) For retrospective review, a written decision to deny part or all of the requested medical treatment shall be communicated to the requesting physician who provided the medical services and to the individual who received the medical services</w:t>
      </w:r>
      <w:r w:rsidRPr="00027151">
        <w:rPr>
          <w:rFonts w:eastAsia="Calibri"/>
          <w:strike/>
          <w:color w:val="auto"/>
          <w:szCs w:val="24"/>
          <w:highlight w:val="yellow"/>
        </w:rPr>
        <w:t>, and his or her attorney/designee, if applicable,</w:t>
      </w:r>
      <w:r w:rsidRPr="00027151">
        <w:rPr>
          <w:rFonts w:eastAsia="Calibri"/>
          <w:strike/>
          <w:color w:val="auto"/>
          <w:szCs w:val="24"/>
        </w:rPr>
        <w:t xml:space="preserve"> </w:t>
      </w:r>
      <w:r w:rsidRPr="00027151">
        <w:rPr>
          <w:rFonts w:eastAsia="Calibri"/>
          <w:color w:val="auto"/>
          <w:szCs w:val="24"/>
        </w:rPr>
        <w:t xml:space="preserve">within 30 days of receipt of the request for authorization and medical information that is reasonably necessary to make a determination. </w:t>
      </w:r>
    </w:p>
    <w:p w:rsidR="00027151" w:rsidRPr="00027151" w:rsidRDefault="00027151" w:rsidP="00027151">
      <w:pPr>
        <w:rPr>
          <w:rFonts w:eastAsia="Calibri"/>
          <w:color w:val="auto"/>
          <w:szCs w:val="24"/>
        </w:rPr>
      </w:pPr>
    </w:p>
    <w:p w:rsidR="00027151" w:rsidRDefault="00027151" w:rsidP="00256145">
      <w:pPr>
        <w:rPr>
          <w:szCs w:val="24"/>
        </w:rPr>
      </w:pPr>
      <w:r w:rsidRPr="00697200">
        <w:rPr>
          <w:rFonts w:eastAsia="Calibri"/>
          <w:color w:val="auto"/>
          <w:szCs w:val="24"/>
        </w:rPr>
        <w:t xml:space="preserve">(5) The written decision modifying, delaying or denying treatment authorization shall be provided to the requesting physician, the injured worker, </w:t>
      </w:r>
      <w:r w:rsidR="004C38C1" w:rsidRPr="004C38C1">
        <w:rPr>
          <w:rFonts w:eastAsia="Calibri"/>
          <w:color w:val="auto"/>
          <w:szCs w:val="24"/>
          <w:highlight w:val="yellow"/>
          <w:u w:val="single"/>
        </w:rPr>
        <w:t>and</w:t>
      </w:r>
      <w:r w:rsidR="004C38C1">
        <w:rPr>
          <w:rFonts w:eastAsia="Calibri"/>
          <w:color w:val="auto"/>
          <w:szCs w:val="24"/>
          <w:u w:val="single"/>
        </w:rPr>
        <w:t xml:space="preserve"> </w:t>
      </w:r>
      <w:r w:rsidRPr="00697200">
        <w:rPr>
          <w:rFonts w:eastAsia="Calibri"/>
          <w:color w:val="auto"/>
          <w:szCs w:val="24"/>
        </w:rPr>
        <w:t>the injured worker’s representative</w:t>
      </w:r>
      <w:r w:rsidRPr="004C38C1">
        <w:rPr>
          <w:rFonts w:eastAsia="Calibri"/>
          <w:strike/>
          <w:color w:val="auto"/>
          <w:szCs w:val="24"/>
          <w:highlight w:val="yellow"/>
        </w:rPr>
        <w:t>, and if the injured worker is represented by counsel, the injured worker's attorney</w:t>
      </w:r>
      <w:r w:rsidRPr="00697200">
        <w:rPr>
          <w:rFonts w:eastAsia="Calibri"/>
          <w:b/>
          <w:color w:val="auto"/>
          <w:szCs w:val="24"/>
        </w:rPr>
        <w:t xml:space="preserve">. </w:t>
      </w:r>
      <w:r w:rsidRPr="00221E4D">
        <w:rPr>
          <w:rFonts w:eastAsia="Calibri"/>
          <w:color w:val="auto"/>
          <w:szCs w:val="24"/>
        </w:rPr>
        <w:t>The written decision shall be signed by either the claims administrator or the reviewer,</w:t>
      </w:r>
      <w:r w:rsidRPr="00697200">
        <w:rPr>
          <w:rFonts w:eastAsia="Calibri"/>
          <w:color w:val="auto"/>
          <w:szCs w:val="24"/>
        </w:rPr>
        <w:t xml:space="preserve"> and shall only contain the following information specific to the request:</w:t>
      </w:r>
      <w:r w:rsidRPr="00697200">
        <w:rPr>
          <w:rFonts w:eastAsia="Calibri"/>
          <w:color w:val="auto"/>
          <w:szCs w:val="24"/>
        </w:rPr>
        <w:br/>
      </w:r>
      <w:r w:rsidR="004C38C1" w:rsidRPr="004C38C1">
        <w:rPr>
          <w:szCs w:val="24"/>
        </w:rPr>
        <w:t>….</w:t>
      </w:r>
    </w:p>
    <w:p w:rsidR="004C38C1" w:rsidRDefault="004C38C1" w:rsidP="00256145">
      <w:pPr>
        <w:rPr>
          <w:szCs w:val="24"/>
        </w:rPr>
      </w:pPr>
    </w:p>
    <w:p w:rsidR="004C38C1" w:rsidRPr="004C38C1" w:rsidRDefault="004C38C1" w:rsidP="004C38C1">
      <w:pPr>
        <w:rPr>
          <w:rFonts w:eastAsia="Calibri"/>
          <w:color w:val="auto"/>
          <w:szCs w:val="24"/>
        </w:rPr>
      </w:pPr>
      <w:r w:rsidRPr="004C38C1">
        <w:rPr>
          <w:rFonts w:eastAsia="Calibri"/>
          <w:color w:val="auto"/>
          <w:szCs w:val="24"/>
        </w:rPr>
        <w:t>(H) 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w:t>
      </w:r>
      <w:r w:rsidRPr="004C38C1">
        <w:rPr>
          <w:rFonts w:eastAsia="Calibri"/>
          <w:strike/>
          <w:color w:val="auto"/>
          <w:szCs w:val="24"/>
          <w:highlight w:val="yellow"/>
        </w:rPr>
        <w:t>,</w:t>
      </w:r>
      <w:r w:rsidR="005B1C70" w:rsidRPr="005B1C70">
        <w:rPr>
          <w:rFonts w:eastAsia="Calibri"/>
          <w:color w:val="auto"/>
          <w:szCs w:val="24"/>
          <w:highlight w:val="yellow"/>
          <w:u w:val="single"/>
        </w:rPr>
        <w:t xml:space="preserve"> or</w:t>
      </w:r>
      <w:r w:rsidRPr="004C38C1">
        <w:rPr>
          <w:rFonts w:eastAsia="Calibri"/>
          <w:color w:val="auto"/>
          <w:szCs w:val="24"/>
        </w:rPr>
        <w:t xml:space="preserve"> the injured worker’s representative</w:t>
      </w:r>
      <w:r w:rsidRPr="004C38C1">
        <w:rPr>
          <w:rFonts w:eastAsia="Calibri"/>
          <w:strike/>
          <w:color w:val="auto"/>
          <w:szCs w:val="24"/>
          <w:highlight w:val="yellow"/>
        </w:rPr>
        <w:t>, or the injured worker's attorney</w:t>
      </w:r>
      <w:r w:rsidRPr="004C38C1">
        <w:rPr>
          <w:rFonts w:eastAsia="Calibri"/>
          <w:strike/>
          <w:color w:val="auto"/>
          <w:szCs w:val="24"/>
        </w:rPr>
        <w:t xml:space="preserve"> </w:t>
      </w:r>
      <w:r w:rsidRPr="004C38C1">
        <w:rPr>
          <w:rFonts w:eastAsia="Calibri"/>
          <w:color w:val="auto"/>
          <w:szCs w:val="24"/>
        </w:rPr>
        <w:t xml:space="preserve">on behalf of the injured worker on the enclosed Application for Independent Medical Review, DWC Form IMR, within 30 calendar days of receipt of the decision. </w:t>
      </w:r>
    </w:p>
    <w:p w:rsidR="004C38C1" w:rsidRDefault="004C38C1" w:rsidP="00256145">
      <w:pPr>
        <w:rPr>
          <w:szCs w:val="24"/>
          <w:u w:val="single"/>
        </w:rPr>
      </w:pPr>
    </w:p>
    <w:p w:rsidR="00256145" w:rsidRDefault="00256145" w:rsidP="00256145">
      <w:pPr>
        <w:ind w:left="720"/>
        <w:rPr>
          <w:i/>
          <w:szCs w:val="24"/>
        </w:rPr>
      </w:pPr>
      <w:r w:rsidRPr="00E76012">
        <w:rPr>
          <w:i/>
          <w:szCs w:val="24"/>
        </w:rPr>
        <w:t>The s</w:t>
      </w:r>
      <w:r w:rsidRPr="00C834E8">
        <w:rPr>
          <w:i/>
          <w:szCs w:val="24"/>
        </w:rPr>
        <w:t>tatute d</w:t>
      </w:r>
      <w:r w:rsidR="00B4253B" w:rsidRPr="00C834E8">
        <w:rPr>
          <w:i/>
          <w:szCs w:val="24"/>
        </w:rPr>
        <w:t xml:space="preserve">oes </w:t>
      </w:r>
      <w:r w:rsidRPr="00C834E8">
        <w:rPr>
          <w:i/>
          <w:szCs w:val="24"/>
        </w:rPr>
        <w:t xml:space="preserve">not authorize the Administrative Director to require applicant attorneys to be copied on notices regarding either utilization review decisions or IMR.  </w:t>
      </w:r>
      <w:r w:rsidR="0008185A" w:rsidRPr="00C834E8">
        <w:rPr>
          <w:i/>
          <w:szCs w:val="24"/>
        </w:rPr>
        <w:t xml:space="preserve">Labor Code section 4610(g) </w:t>
      </w:r>
      <w:r w:rsidRPr="00C834E8">
        <w:rPr>
          <w:i/>
          <w:szCs w:val="24"/>
        </w:rPr>
        <w:t>requires the employer to notify the physician and the employee if a utilization review decision can’t be made within the 5 working day/14 day/30 day/72 hour timeframes, but does not require notice to an applicant’s attorney.</w:t>
      </w:r>
    </w:p>
    <w:p w:rsidR="00E76012" w:rsidRDefault="00E76012" w:rsidP="00256145">
      <w:pPr>
        <w:ind w:left="720"/>
        <w:rPr>
          <w:i/>
          <w:szCs w:val="24"/>
        </w:rPr>
      </w:pPr>
    </w:p>
    <w:p w:rsidR="00CE2D91" w:rsidRPr="007C67FF" w:rsidRDefault="00CE2D91" w:rsidP="00CE2D91">
      <w:pPr>
        <w:ind w:left="720"/>
        <w:rPr>
          <w:i/>
          <w:szCs w:val="24"/>
        </w:rPr>
      </w:pPr>
      <w:r w:rsidRPr="007C67FF">
        <w:rPr>
          <w:i/>
          <w:szCs w:val="24"/>
        </w:rPr>
        <w:t xml:space="preserve">Applicant attorneys are nowhere included in the Labor Code section </w:t>
      </w:r>
      <w:r>
        <w:rPr>
          <w:i/>
          <w:szCs w:val="24"/>
        </w:rPr>
        <w:t xml:space="preserve">4610 and </w:t>
      </w:r>
      <w:r w:rsidRPr="007C67FF">
        <w:rPr>
          <w:i/>
          <w:szCs w:val="24"/>
        </w:rPr>
        <w:t xml:space="preserve">4610.5 language and have no role in the </w:t>
      </w:r>
      <w:r>
        <w:rPr>
          <w:i/>
          <w:szCs w:val="24"/>
        </w:rPr>
        <w:t>UR dispute</w:t>
      </w:r>
      <w:r w:rsidR="00400CA2">
        <w:rPr>
          <w:i/>
          <w:szCs w:val="24"/>
        </w:rPr>
        <w:t>/</w:t>
      </w:r>
      <w:r>
        <w:rPr>
          <w:i/>
          <w:szCs w:val="24"/>
        </w:rPr>
        <w:t xml:space="preserve">IMR </w:t>
      </w:r>
      <w:r w:rsidRPr="007C67FF">
        <w:rPr>
          <w:i/>
          <w:szCs w:val="24"/>
        </w:rPr>
        <w:t>process</w:t>
      </w:r>
      <w:r>
        <w:rPr>
          <w:i/>
          <w:szCs w:val="24"/>
        </w:rPr>
        <w:t>es</w:t>
      </w:r>
      <w:r w:rsidRPr="007C67FF">
        <w:rPr>
          <w:i/>
          <w:szCs w:val="24"/>
        </w:rPr>
        <w:t xml:space="preserve"> unless and until an IMR decision is challenged when a verified appeal may be filed with the appeals board.  The Institute believes that when the Legislature moved the authority to resolve utilization review disputes from the Board to an independent </w:t>
      </w:r>
      <w:r>
        <w:rPr>
          <w:i/>
          <w:szCs w:val="24"/>
        </w:rPr>
        <w:t xml:space="preserve">medical </w:t>
      </w:r>
      <w:r w:rsidRPr="007C67FF">
        <w:rPr>
          <w:i/>
          <w:szCs w:val="24"/>
        </w:rPr>
        <w:t xml:space="preserve">review organization, it removed applicant attorneys from the process.  </w:t>
      </w:r>
    </w:p>
    <w:p w:rsidR="002C55B8" w:rsidRPr="00C834E8" w:rsidRDefault="002C55B8" w:rsidP="00256145">
      <w:pPr>
        <w:ind w:left="720"/>
        <w:rPr>
          <w:i/>
          <w:szCs w:val="24"/>
        </w:rPr>
      </w:pPr>
    </w:p>
    <w:p w:rsidR="000914C6" w:rsidRPr="000914C6" w:rsidRDefault="000914C6" w:rsidP="000914C6">
      <w:pPr>
        <w:rPr>
          <w:rFonts w:eastAsia="Calibri"/>
          <w:color w:val="auto"/>
          <w:szCs w:val="24"/>
        </w:rPr>
      </w:pPr>
      <w:r>
        <w:rPr>
          <w:rFonts w:eastAsia="Calibri"/>
          <w:color w:val="auto"/>
          <w:szCs w:val="24"/>
        </w:rPr>
        <w:t>(f)</w:t>
      </w:r>
      <w:r w:rsidRPr="000914C6">
        <w:rPr>
          <w:rFonts w:eastAsia="Calibri"/>
          <w:color w:val="auto"/>
          <w:szCs w:val="24"/>
        </w:rPr>
        <w:t xml:space="preserve">(2)(B) If any of the circumstances set forth in subdivisions (f)(1)(A), (B) or (C) are deemed to apply following the receipt of a DWC Form RFA </w:t>
      </w:r>
      <w:r w:rsidRPr="000914C6">
        <w:rPr>
          <w:rFonts w:eastAsia="Calibri"/>
          <w:strike/>
          <w:color w:val="auto"/>
          <w:szCs w:val="24"/>
          <w:highlight w:val="yellow"/>
        </w:rPr>
        <w:t>or accepted request for authorization</w:t>
      </w:r>
      <w:r w:rsidRPr="000914C6">
        <w:rPr>
          <w:rFonts w:eastAsia="Calibri"/>
          <w:color w:val="auto"/>
          <w:szCs w:val="24"/>
        </w:rPr>
        <w:t xml:space="preserve">, the reviewer shall immediately notify the requesting physician, the injured worker, and if the injured worker is represented by counsel, the injured worker's attorney in writing, that the reviewer cannot make a decision within the required timeframe, and request, as applicable, the information reasonably necessary to make a determination, the additional examinations or tests required, or the specialty of the expert reviewer to be </w:t>
      </w:r>
      <w:r w:rsidRPr="000914C6">
        <w:rPr>
          <w:rFonts w:eastAsia="Calibri"/>
          <w:color w:val="auto"/>
          <w:szCs w:val="24"/>
        </w:rPr>
        <w:lastRenderedPageBreak/>
        <w:t>consulted. The reviewer shall also notify the requesting physician, the injured worker, and if the injured worker is represented by counsel, the injured worker's attorney of the anticipated date on which a decision will be rendered.</w:t>
      </w:r>
    </w:p>
    <w:p w:rsidR="000914C6" w:rsidRPr="000914C6" w:rsidRDefault="000914C6" w:rsidP="000914C6">
      <w:pPr>
        <w:rPr>
          <w:rFonts w:eastAsia="Calibri"/>
          <w:color w:val="auto"/>
          <w:szCs w:val="24"/>
        </w:rPr>
      </w:pPr>
    </w:p>
    <w:p w:rsidR="004D4B72" w:rsidRPr="000914C6" w:rsidRDefault="004D4B72" w:rsidP="004D4B72">
      <w:pPr>
        <w:ind w:left="720"/>
        <w:rPr>
          <w:rFonts w:eastAsia="Calibri"/>
          <w:i/>
          <w:color w:val="auto"/>
          <w:szCs w:val="24"/>
        </w:rPr>
      </w:pPr>
      <w:r w:rsidRPr="000914C6">
        <w:rPr>
          <w:rFonts w:eastAsia="Calibri"/>
          <w:i/>
          <w:color w:val="auto"/>
          <w:szCs w:val="24"/>
        </w:rPr>
        <w:t>See introduction and other comments on the necessity for a standard DWC Form RFA.</w:t>
      </w:r>
    </w:p>
    <w:p w:rsidR="008203A8" w:rsidRDefault="000914C6" w:rsidP="008203A8">
      <w:pPr>
        <w:rPr>
          <w:b/>
          <w:bCs/>
          <w:szCs w:val="24"/>
        </w:rPr>
      </w:pPr>
      <w:r w:rsidRPr="000914C6">
        <w:rPr>
          <w:rFonts w:eastAsia="Calibri"/>
          <w:color w:val="auto"/>
          <w:szCs w:val="24"/>
          <w:u w:val="single"/>
        </w:rPr>
        <w:br/>
      </w:r>
    </w:p>
    <w:p w:rsidR="001C6DA2" w:rsidRDefault="001C6DA2" w:rsidP="0029521E">
      <w:pPr>
        <w:rPr>
          <w:rFonts w:eastAsia="Calibri"/>
          <w:color w:val="auto"/>
          <w:szCs w:val="24"/>
        </w:rPr>
      </w:pPr>
      <w:r w:rsidRPr="001C6DA2">
        <w:rPr>
          <w:b/>
          <w:szCs w:val="24"/>
        </w:rPr>
        <w:t>§ 9792.10.1.  Utilization Review Standards--Dispute Resolution – On or After January 1, 2013.</w:t>
      </w:r>
      <w:r w:rsidRPr="001C6DA2">
        <w:rPr>
          <w:b/>
          <w:szCs w:val="24"/>
        </w:rPr>
        <w:br/>
      </w:r>
    </w:p>
    <w:p w:rsidR="00BB25A3" w:rsidRDefault="00BB25A3" w:rsidP="0029521E">
      <w:pPr>
        <w:rPr>
          <w:szCs w:val="24"/>
        </w:rPr>
      </w:pPr>
      <w:r w:rsidRPr="00BB25A3">
        <w:rPr>
          <w:szCs w:val="24"/>
        </w:rPr>
        <w:t xml:space="preserve">(b)(1) A request for independent medical review must be filed by an eligible party by mail, facsimile, or electronic transmission with the Administrative Director, or the Administrative Director’s designee, within 30 days of service of the </w:t>
      </w:r>
      <w:r w:rsidR="00EF5E01">
        <w:rPr>
          <w:szCs w:val="24"/>
        </w:rPr>
        <w:t xml:space="preserve">written </w:t>
      </w:r>
      <w:r w:rsidRPr="00BB25A3">
        <w:rPr>
          <w:szCs w:val="24"/>
        </w:rPr>
        <w:t xml:space="preserve">utilization review </w:t>
      </w:r>
      <w:r w:rsidR="00EF5E01">
        <w:rPr>
          <w:szCs w:val="24"/>
        </w:rPr>
        <w:t>determination issued by the claims administrator under section 9792.9.1e(5)</w:t>
      </w:r>
      <w:r w:rsidRPr="00BB25A3">
        <w:rPr>
          <w:szCs w:val="24"/>
        </w:rPr>
        <w:t xml:space="preserve">. The request must be made on the Application for Independent Medical Review, DWC Form IMR, and must be submitted with a copy of the written decision </w:t>
      </w:r>
      <w:r w:rsidRPr="003D5650">
        <w:rPr>
          <w:strike/>
          <w:szCs w:val="24"/>
          <w:highlight w:val="yellow"/>
        </w:rPr>
        <w:t>delaying,</w:t>
      </w:r>
      <w:r w:rsidRPr="00BB25A3">
        <w:rPr>
          <w:szCs w:val="24"/>
        </w:rPr>
        <w:t xml:space="preserve"> denying, or modifying the request for authorization of medical treatment. At the time of filing, the employee shall concurrently provide a copy of the signed DWC Form IMR, without a copy of the written decision delaying, denying, or modifying the request for authorization of medical treatment, to the claims administrator</w:t>
      </w:r>
      <w:r w:rsidR="00E04CDD">
        <w:rPr>
          <w:szCs w:val="24"/>
        </w:rPr>
        <w:t>.</w:t>
      </w:r>
    </w:p>
    <w:p w:rsidR="00E04CDD" w:rsidRDefault="00E04CDD" w:rsidP="0029521E">
      <w:pPr>
        <w:rPr>
          <w:szCs w:val="24"/>
        </w:rPr>
      </w:pPr>
    </w:p>
    <w:p w:rsidR="00E04CDD" w:rsidRPr="00BB25A3" w:rsidRDefault="00E04CDD" w:rsidP="00E04CDD">
      <w:pPr>
        <w:ind w:left="720"/>
        <w:rPr>
          <w:szCs w:val="24"/>
        </w:rPr>
      </w:pPr>
      <w:r>
        <w:rPr>
          <w:rFonts w:eastAsia="Calibri"/>
          <w:i/>
          <w:color w:val="auto"/>
          <w:szCs w:val="24"/>
        </w:rPr>
        <w:t>The recommended modification cla</w:t>
      </w:r>
      <w:r w:rsidR="007D6AE2">
        <w:rPr>
          <w:rFonts w:eastAsia="Calibri"/>
          <w:i/>
          <w:color w:val="auto"/>
          <w:szCs w:val="24"/>
        </w:rPr>
        <w:t xml:space="preserve">rifies that </w:t>
      </w:r>
      <w:r w:rsidR="00F91543">
        <w:rPr>
          <w:rFonts w:eastAsia="Calibri"/>
          <w:i/>
          <w:color w:val="auto"/>
          <w:szCs w:val="24"/>
        </w:rPr>
        <w:t xml:space="preserve">submitting a DWC Form IMR with </w:t>
      </w:r>
      <w:r w:rsidR="003D5650">
        <w:rPr>
          <w:rFonts w:eastAsia="Calibri"/>
          <w:i/>
          <w:color w:val="auto"/>
          <w:szCs w:val="24"/>
        </w:rPr>
        <w:t>a</w:t>
      </w:r>
      <w:r w:rsidR="005D2F97">
        <w:rPr>
          <w:rFonts w:eastAsia="Calibri"/>
          <w:i/>
          <w:color w:val="auto"/>
          <w:szCs w:val="24"/>
        </w:rPr>
        <w:t xml:space="preserve"> written decision</w:t>
      </w:r>
      <w:r w:rsidR="003D5650">
        <w:rPr>
          <w:rFonts w:eastAsia="Calibri"/>
          <w:i/>
          <w:color w:val="auto"/>
          <w:szCs w:val="24"/>
        </w:rPr>
        <w:t xml:space="preserve"> delaying </w:t>
      </w:r>
      <w:r w:rsidR="007043A1">
        <w:rPr>
          <w:rFonts w:eastAsia="Calibri"/>
          <w:i/>
          <w:color w:val="auto"/>
          <w:szCs w:val="24"/>
        </w:rPr>
        <w:t xml:space="preserve">a decision </w:t>
      </w:r>
      <w:r w:rsidR="003D5650">
        <w:rPr>
          <w:rFonts w:eastAsia="Calibri"/>
          <w:i/>
          <w:color w:val="auto"/>
          <w:szCs w:val="24"/>
        </w:rPr>
        <w:t xml:space="preserve">is not necessary </w:t>
      </w:r>
      <w:r w:rsidR="007043A1">
        <w:rPr>
          <w:rFonts w:eastAsia="Calibri"/>
          <w:i/>
          <w:color w:val="auto"/>
          <w:szCs w:val="24"/>
        </w:rPr>
        <w:t xml:space="preserve">since the delay is </w:t>
      </w:r>
      <w:r w:rsidR="00CF19C5">
        <w:rPr>
          <w:rFonts w:eastAsia="Calibri"/>
          <w:i/>
          <w:color w:val="auto"/>
          <w:szCs w:val="24"/>
        </w:rPr>
        <w:t>pending</w:t>
      </w:r>
      <w:r w:rsidR="007E03F1">
        <w:rPr>
          <w:rFonts w:eastAsia="Calibri"/>
          <w:i/>
          <w:color w:val="auto"/>
          <w:szCs w:val="24"/>
        </w:rPr>
        <w:t xml:space="preserve"> additional information</w:t>
      </w:r>
      <w:r w:rsidR="005D2F97">
        <w:rPr>
          <w:rFonts w:eastAsia="Calibri"/>
          <w:i/>
          <w:color w:val="auto"/>
          <w:szCs w:val="24"/>
        </w:rPr>
        <w:t xml:space="preserve">. </w:t>
      </w:r>
      <w:r w:rsidR="007D6AE2">
        <w:rPr>
          <w:rFonts w:eastAsia="Calibri"/>
          <w:i/>
          <w:color w:val="auto"/>
          <w:szCs w:val="24"/>
        </w:rPr>
        <w:t xml:space="preserve"> </w:t>
      </w:r>
      <w:r w:rsidR="00F91543">
        <w:rPr>
          <w:rFonts w:eastAsia="Calibri"/>
          <w:i/>
          <w:color w:val="auto"/>
          <w:szCs w:val="24"/>
        </w:rPr>
        <w:t>It</w:t>
      </w:r>
      <w:r w:rsidR="007E03F1">
        <w:rPr>
          <w:rFonts w:eastAsia="Calibri"/>
          <w:i/>
          <w:color w:val="auto"/>
          <w:szCs w:val="24"/>
        </w:rPr>
        <w:t xml:space="preserve"> is </w:t>
      </w:r>
      <w:r w:rsidR="00F91543">
        <w:rPr>
          <w:rFonts w:eastAsia="Calibri"/>
          <w:i/>
          <w:color w:val="auto"/>
          <w:szCs w:val="24"/>
        </w:rPr>
        <w:t xml:space="preserve">only </w:t>
      </w:r>
      <w:r w:rsidR="007E03F1">
        <w:rPr>
          <w:rFonts w:eastAsia="Calibri"/>
          <w:i/>
          <w:color w:val="auto"/>
          <w:szCs w:val="24"/>
        </w:rPr>
        <w:t xml:space="preserve">appropriate </w:t>
      </w:r>
      <w:r w:rsidR="005F2AEA">
        <w:rPr>
          <w:rFonts w:eastAsia="Calibri"/>
          <w:i/>
          <w:color w:val="auto"/>
          <w:szCs w:val="24"/>
        </w:rPr>
        <w:t xml:space="preserve">to submit the form </w:t>
      </w:r>
      <w:r w:rsidR="00F91543">
        <w:rPr>
          <w:rFonts w:eastAsia="Calibri"/>
          <w:i/>
          <w:color w:val="auto"/>
          <w:szCs w:val="24"/>
        </w:rPr>
        <w:t>with a decision denying or modifying a request for authorization.</w:t>
      </w:r>
    </w:p>
    <w:p w:rsidR="00BB25A3" w:rsidRDefault="00BB25A3" w:rsidP="0029521E">
      <w:pPr>
        <w:rPr>
          <w:rFonts w:eastAsia="Calibri"/>
          <w:color w:val="auto"/>
          <w:szCs w:val="24"/>
        </w:rPr>
      </w:pPr>
    </w:p>
    <w:p w:rsidR="006A7A6D" w:rsidRDefault="006A7A6D" w:rsidP="001C6DA2">
      <w:pPr>
        <w:rPr>
          <w:strike/>
          <w:szCs w:val="24"/>
        </w:rPr>
      </w:pPr>
      <w:r w:rsidRPr="00BB25A3">
        <w:rPr>
          <w:szCs w:val="24"/>
        </w:rPr>
        <w:t>(b)(</w:t>
      </w:r>
      <w:r>
        <w:rPr>
          <w:szCs w:val="24"/>
        </w:rPr>
        <w:t>2</w:t>
      </w:r>
      <w:r w:rsidRPr="00BB25A3">
        <w:rPr>
          <w:szCs w:val="24"/>
        </w:rPr>
        <w:t>)</w:t>
      </w:r>
      <w:r>
        <w:rPr>
          <w:szCs w:val="24"/>
        </w:rPr>
        <w:t>(A)</w:t>
      </w:r>
      <w:r w:rsidRPr="00BB25A3">
        <w:rPr>
          <w:szCs w:val="24"/>
        </w:rPr>
        <w:t xml:space="preserve"> </w:t>
      </w:r>
      <w:r w:rsidR="008138BA">
        <w:rPr>
          <w:szCs w:val="24"/>
        </w:rPr>
        <w:t>The employee</w:t>
      </w:r>
      <w:r w:rsidR="008138BA" w:rsidRPr="00732FF9">
        <w:rPr>
          <w:strike/>
          <w:szCs w:val="24"/>
        </w:rPr>
        <w:t xml:space="preserve"> </w:t>
      </w:r>
      <w:r w:rsidR="008138BA" w:rsidRPr="00732FF9">
        <w:rPr>
          <w:strike/>
          <w:szCs w:val="24"/>
          <w:highlight w:val="yellow"/>
        </w:rPr>
        <w:t>or,</w:t>
      </w:r>
      <w:r w:rsidR="008138BA" w:rsidRPr="008138BA">
        <w:rPr>
          <w:strike/>
          <w:szCs w:val="24"/>
          <w:highlight w:val="yellow"/>
        </w:rPr>
        <w:t xml:space="preserve"> if the employee is represented, the employee’s attorney.  If the employee’s attorney files the DWC Form IMR, the form must be accompanied by a notice of representation or other document or written designation confirming representation.</w:t>
      </w:r>
    </w:p>
    <w:p w:rsidR="00732FF9" w:rsidRDefault="00732FF9" w:rsidP="001C6DA2">
      <w:pPr>
        <w:rPr>
          <w:strike/>
          <w:szCs w:val="24"/>
        </w:rPr>
      </w:pPr>
    </w:p>
    <w:p w:rsidR="00A90934" w:rsidRPr="007C67FF" w:rsidRDefault="00F465FF" w:rsidP="00A90934">
      <w:pPr>
        <w:ind w:left="720"/>
        <w:rPr>
          <w:i/>
          <w:szCs w:val="24"/>
        </w:rPr>
      </w:pPr>
      <w:r w:rsidRPr="007C67FF">
        <w:rPr>
          <w:i/>
          <w:szCs w:val="24"/>
        </w:rPr>
        <w:t xml:space="preserve">Applicant attorneys are nowhere included in the Labor Code section 4610.5 language and have no role in the </w:t>
      </w:r>
      <w:r w:rsidR="00CF6527">
        <w:rPr>
          <w:i/>
          <w:szCs w:val="24"/>
        </w:rPr>
        <w:t xml:space="preserve">IMR </w:t>
      </w:r>
      <w:r w:rsidRPr="007C67FF">
        <w:rPr>
          <w:i/>
          <w:szCs w:val="24"/>
        </w:rPr>
        <w:t xml:space="preserve">process unless and until an IMR decision is challenged when a verified appeal may be filed with the appeals board.  </w:t>
      </w:r>
      <w:r w:rsidR="00C45CDB" w:rsidRPr="007C67FF">
        <w:rPr>
          <w:i/>
          <w:szCs w:val="24"/>
        </w:rPr>
        <w:t xml:space="preserve">According to </w:t>
      </w:r>
      <w:r w:rsidR="00732FF9" w:rsidRPr="007C67FF">
        <w:rPr>
          <w:i/>
          <w:szCs w:val="24"/>
        </w:rPr>
        <w:t>Labor Code section 4610</w:t>
      </w:r>
      <w:r w:rsidR="00BE3A0E" w:rsidRPr="007C67FF">
        <w:rPr>
          <w:i/>
          <w:szCs w:val="24"/>
        </w:rPr>
        <w:t>.5</w:t>
      </w:r>
      <w:r w:rsidR="00732FF9" w:rsidRPr="007C67FF">
        <w:rPr>
          <w:i/>
          <w:szCs w:val="24"/>
        </w:rPr>
        <w:t>(j)</w:t>
      </w:r>
      <w:r w:rsidR="00C45CDB" w:rsidRPr="007C67FF">
        <w:rPr>
          <w:i/>
          <w:szCs w:val="24"/>
        </w:rPr>
        <w:t xml:space="preserve"> “A designation</w:t>
      </w:r>
      <w:r w:rsidR="00BE3A0E" w:rsidRPr="007C67FF">
        <w:rPr>
          <w:i/>
          <w:szCs w:val="24"/>
        </w:rPr>
        <w:t xml:space="preserve"> </w:t>
      </w:r>
      <w:r w:rsidR="00C45CDB" w:rsidRPr="007C67FF">
        <w:rPr>
          <w:i/>
          <w:szCs w:val="24"/>
        </w:rPr>
        <w:t>of an agent executed prior to the utilization review decision shall not be valid.”</w:t>
      </w:r>
      <w:r w:rsidR="004550EC" w:rsidRPr="007C67FF">
        <w:rPr>
          <w:i/>
          <w:szCs w:val="24"/>
        </w:rPr>
        <w:t xml:space="preserve">  The applicant attorney is not a valid </w:t>
      </w:r>
      <w:r w:rsidR="00345090" w:rsidRPr="007C67FF">
        <w:rPr>
          <w:i/>
          <w:szCs w:val="24"/>
        </w:rPr>
        <w:t xml:space="preserve">designee if the designation </w:t>
      </w:r>
      <w:r w:rsidR="00DB7763" w:rsidRPr="007C67FF">
        <w:rPr>
          <w:i/>
          <w:szCs w:val="24"/>
        </w:rPr>
        <w:t>of</w:t>
      </w:r>
      <w:r w:rsidR="00345090" w:rsidRPr="007C67FF">
        <w:rPr>
          <w:i/>
          <w:szCs w:val="24"/>
        </w:rPr>
        <w:t xml:space="preserve"> represent</w:t>
      </w:r>
      <w:r w:rsidR="00DB7763" w:rsidRPr="007C67FF">
        <w:rPr>
          <w:i/>
          <w:szCs w:val="24"/>
        </w:rPr>
        <w:t>ation</w:t>
      </w:r>
      <w:r w:rsidR="00345090" w:rsidRPr="007C67FF">
        <w:rPr>
          <w:i/>
          <w:szCs w:val="24"/>
        </w:rPr>
        <w:t xml:space="preserve"> was executed prior to the utilization review decision.</w:t>
      </w:r>
      <w:r w:rsidR="004550EC" w:rsidRPr="007C67FF">
        <w:rPr>
          <w:i/>
          <w:szCs w:val="24"/>
        </w:rPr>
        <w:t xml:space="preserve"> </w:t>
      </w:r>
      <w:r w:rsidR="00DB7763" w:rsidRPr="007C67FF">
        <w:rPr>
          <w:i/>
          <w:szCs w:val="24"/>
        </w:rPr>
        <w:t xml:space="preserve">The Institute believes that when the Legislature moved the authority to resolve </w:t>
      </w:r>
      <w:r w:rsidR="006B178D" w:rsidRPr="007C67FF">
        <w:rPr>
          <w:i/>
          <w:szCs w:val="24"/>
        </w:rPr>
        <w:t xml:space="preserve">utilization review </w:t>
      </w:r>
      <w:r w:rsidR="00DB7763" w:rsidRPr="007C67FF">
        <w:rPr>
          <w:i/>
          <w:szCs w:val="24"/>
        </w:rPr>
        <w:t xml:space="preserve">disputes </w:t>
      </w:r>
      <w:r w:rsidR="006B178D" w:rsidRPr="007C67FF">
        <w:rPr>
          <w:i/>
          <w:szCs w:val="24"/>
        </w:rPr>
        <w:t xml:space="preserve">from the Board to an independent </w:t>
      </w:r>
      <w:r w:rsidR="00CF6527">
        <w:rPr>
          <w:i/>
          <w:szCs w:val="24"/>
        </w:rPr>
        <w:t xml:space="preserve">medical </w:t>
      </w:r>
      <w:r w:rsidR="006B178D" w:rsidRPr="007C67FF">
        <w:rPr>
          <w:i/>
          <w:szCs w:val="24"/>
        </w:rPr>
        <w:t xml:space="preserve">review organization, it removed applicant attorneys from the IMR process.  </w:t>
      </w:r>
    </w:p>
    <w:p w:rsidR="00A90934" w:rsidRPr="007C67FF" w:rsidRDefault="00A90934" w:rsidP="00A90934">
      <w:pPr>
        <w:ind w:left="720"/>
        <w:rPr>
          <w:i/>
          <w:szCs w:val="24"/>
        </w:rPr>
      </w:pPr>
    </w:p>
    <w:p w:rsidR="009F61C0" w:rsidRPr="007C67FF" w:rsidRDefault="00A90934" w:rsidP="00A90934">
      <w:pPr>
        <w:ind w:left="720"/>
        <w:rPr>
          <w:i/>
          <w:szCs w:val="24"/>
        </w:rPr>
      </w:pPr>
      <w:r w:rsidRPr="007C67FF">
        <w:rPr>
          <w:i/>
          <w:szCs w:val="24"/>
        </w:rPr>
        <w:t xml:space="preserve">Labor Code section 4610.5(j) states </w:t>
      </w:r>
    </w:p>
    <w:p w:rsidR="009F61C0" w:rsidRPr="007C67FF" w:rsidRDefault="00A90934" w:rsidP="009F61C0">
      <w:pPr>
        <w:ind w:left="1440"/>
        <w:rPr>
          <w:i/>
          <w:szCs w:val="24"/>
        </w:rPr>
      </w:pPr>
      <w:r w:rsidRPr="007C67FF">
        <w:rPr>
          <w:i/>
          <w:szCs w:val="24"/>
        </w:rPr>
        <w:t xml:space="preserve">“For purposes of this section, an employee may designate a parent, guardian, conservator, relative, or other designee of the employee to act </w:t>
      </w:r>
      <w:r w:rsidRPr="007C67FF">
        <w:rPr>
          <w:i/>
          <w:szCs w:val="24"/>
        </w:rPr>
        <w:lastRenderedPageBreak/>
        <w:t xml:space="preserve">on his or her behalf.  A designation of an agent executed prior to the utilization review decision shall not be valid. …”  </w:t>
      </w:r>
    </w:p>
    <w:p w:rsidR="009F61C0" w:rsidRPr="007C67FF" w:rsidRDefault="00A90934" w:rsidP="00732FF9">
      <w:pPr>
        <w:ind w:left="720"/>
        <w:rPr>
          <w:i/>
          <w:szCs w:val="24"/>
        </w:rPr>
      </w:pPr>
      <w:r w:rsidRPr="007C67FF">
        <w:rPr>
          <w:i/>
          <w:szCs w:val="24"/>
        </w:rPr>
        <w:t xml:space="preserve">If the employee is represented by an attorney at the time of a UR decision, that language </w:t>
      </w:r>
      <w:r w:rsidR="00CF6527">
        <w:rPr>
          <w:i/>
          <w:szCs w:val="24"/>
        </w:rPr>
        <w:t>means</w:t>
      </w:r>
      <w:r w:rsidRPr="007C67FF">
        <w:rPr>
          <w:i/>
          <w:szCs w:val="24"/>
        </w:rPr>
        <w:t xml:space="preserve"> the applicant’s attorney is not eligible to act on behalf of the employee for purposes IMR.  Since the legislature moved the responsibility for deciding medically necessary treatment from the Board to </w:t>
      </w:r>
      <w:r w:rsidR="00836F25" w:rsidRPr="007C67FF">
        <w:rPr>
          <w:i/>
          <w:szCs w:val="24"/>
        </w:rPr>
        <w:t xml:space="preserve">the </w:t>
      </w:r>
      <w:r w:rsidRPr="007C67FF">
        <w:rPr>
          <w:i/>
          <w:szCs w:val="24"/>
        </w:rPr>
        <w:t>IMR</w:t>
      </w:r>
      <w:r w:rsidR="00836F25" w:rsidRPr="007C67FF">
        <w:rPr>
          <w:i/>
          <w:szCs w:val="24"/>
        </w:rPr>
        <w:t>O</w:t>
      </w:r>
      <w:r w:rsidRPr="007C67FF">
        <w:rPr>
          <w:i/>
          <w:szCs w:val="24"/>
        </w:rPr>
        <w:t>, there is no longer necessity for an attorney to argue on the medical necessity for treatment unless there is an appeal.</w:t>
      </w:r>
      <w:r w:rsidR="009F61C0" w:rsidRPr="007C67FF">
        <w:rPr>
          <w:i/>
          <w:szCs w:val="24"/>
        </w:rPr>
        <w:t xml:space="preserve">  </w:t>
      </w:r>
    </w:p>
    <w:p w:rsidR="009F61C0" w:rsidRPr="007C67FF" w:rsidRDefault="009F61C0" w:rsidP="00732FF9">
      <w:pPr>
        <w:ind w:left="720"/>
        <w:rPr>
          <w:i/>
          <w:szCs w:val="24"/>
        </w:rPr>
      </w:pPr>
    </w:p>
    <w:p w:rsidR="00732FF9" w:rsidRPr="00732FF9" w:rsidRDefault="009F61C0" w:rsidP="00732FF9">
      <w:pPr>
        <w:ind w:left="720"/>
        <w:rPr>
          <w:i/>
          <w:szCs w:val="24"/>
        </w:rPr>
      </w:pPr>
      <w:r w:rsidRPr="007464FB">
        <w:rPr>
          <w:i/>
          <w:szCs w:val="24"/>
        </w:rPr>
        <w:t xml:space="preserve">The statute </w:t>
      </w:r>
      <w:r w:rsidR="007464FB">
        <w:rPr>
          <w:i/>
          <w:szCs w:val="24"/>
        </w:rPr>
        <w:t xml:space="preserve">also </w:t>
      </w:r>
      <w:r w:rsidRPr="007464FB">
        <w:rPr>
          <w:i/>
          <w:szCs w:val="24"/>
        </w:rPr>
        <w:t xml:space="preserve">did not authorize the Administrative Director to require applicant attorneys to be copied on </w:t>
      </w:r>
      <w:r w:rsidR="00836CD7" w:rsidRPr="007464FB">
        <w:rPr>
          <w:i/>
          <w:szCs w:val="24"/>
        </w:rPr>
        <w:t xml:space="preserve">notices regarding </w:t>
      </w:r>
      <w:r w:rsidRPr="007464FB">
        <w:rPr>
          <w:i/>
          <w:szCs w:val="24"/>
        </w:rPr>
        <w:t xml:space="preserve">either utilization review </w:t>
      </w:r>
      <w:r w:rsidR="00836CD7" w:rsidRPr="007464FB">
        <w:rPr>
          <w:i/>
          <w:szCs w:val="24"/>
        </w:rPr>
        <w:t xml:space="preserve">decisions </w:t>
      </w:r>
      <w:r w:rsidRPr="007464FB">
        <w:rPr>
          <w:i/>
          <w:szCs w:val="24"/>
        </w:rPr>
        <w:t xml:space="preserve">or IMR.  </w:t>
      </w:r>
      <w:r w:rsidR="005947AF" w:rsidRPr="007464FB">
        <w:rPr>
          <w:i/>
          <w:szCs w:val="24"/>
        </w:rPr>
        <w:t>For example, Labor Code section</w:t>
      </w:r>
      <w:r w:rsidR="00A90934" w:rsidRPr="007464FB">
        <w:rPr>
          <w:i/>
          <w:szCs w:val="24"/>
        </w:rPr>
        <w:t xml:space="preserve"> </w:t>
      </w:r>
      <w:r w:rsidR="00DD74A0" w:rsidRPr="007464FB">
        <w:rPr>
          <w:i/>
          <w:szCs w:val="24"/>
        </w:rPr>
        <w:t>4610(g)</w:t>
      </w:r>
      <w:r w:rsidR="00E03E5C" w:rsidRPr="007464FB">
        <w:rPr>
          <w:i/>
          <w:szCs w:val="24"/>
        </w:rPr>
        <w:t>(5)</w:t>
      </w:r>
      <w:r w:rsidR="00DD74A0" w:rsidRPr="007464FB">
        <w:rPr>
          <w:i/>
          <w:szCs w:val="24"/>
        </w:rPr>
        <w:t xml:space="preserve"> </w:t>
      </w:r>
      <w:r w:rsidR="005947AF" w:rsidRPr="007464FB">
        <w:rPr>
          <w:i/>
          <w:szCs w:val="24"/>
        </w:rPr>
        <w:t>requires</w:t>
      </w:r>
      <w:r w:rsidR="00DD74A0" w:rsidRPr="007464FB">
        <w:rPr>
          <w:i/>
          <w:szCs w:val="24"/>
        </w:rPr>
        <w:t xml:space="preserve"> the employer to notify the physician and the employee if a </w:t>
      </w:r>
      <w:r w:rsidRPr="007464FB">
        <w:rPr>
          <w:i/>
          <w:szCs w:val="24"/>
        </w:rPr>
        <w:t xml:space="preserve">utilization review </w:t>
      </w:r>
      <w:r w:rsidR="00DD74A0" w:rsidRPr="007464FB">
        <w:rPr>
          <w:i/>
          <w:szCs w:val="24"/>
        </w:rPr>
        <w:t xml:space="preserve">decision can’t be made within </w:t>
      </w:r>
      <w:r w:rsidR="00836F25" w:rsidRPr="007464FB">
        <w:rPr>
          <w:i/>
          <w:szCs w:val="24"/>
        </w:rPr>
        <w:t xml:space="preserve">the </w:t>
      </w:r>
      <w:r w:rsidR="00DD74A0" w:rsidRPr="007464FB">
        <w:rPr>
          <w:i/>
          <w:szCs w:val="24"/>
        </w:rPr>
        <w:t>5 working day/14 day/30 day/72 hour</w:t>
      </w:r>
      <w:r w:rsidR="004E6023" w:rsidRPr="007464FB">
        <w:rPr>
          <w:i/>
          <w:szCs w:val="24"/>
        </w:rPr>
        <w:t xml:space="preserve"> timeframes, but does not require notic</w:t>
      </w:r>
      <w:r w:rsidR="00836CD7" w:rsidRPr="007464FB">
        <w:rPr>
          <w:i/>
          <w:szCs w:val="24"/>
        </w:rPr>
        <w:t xml:space="preserve">e </w:t>
      </w:r>
      <w:r w:rsidR="004E6023" w:rsidRPr="007464FB">
        <w:rPr>
          <w:i/>
          <w:szCs w:val="24"/>
        </w:rPr>
        <w:t>to an</w:t>
      </w:r>
      <w:r w:rsidR="005947AF" w:rsidRPr="007464FB">
        <w:rPr>
          <w:i/>
          <w:szCs w:val="24"/>
        </w:rPr>
        <w:t xml:space="preserve"> applicant</w:t>
      </w:r>
      <w:r w:rsidR="004E6023" w:rsidRPr="007464FB">
        <w:rPr>
          <w:i/>
          <w:szCs w:val="24"/>
        </w:rPr>
        <w:t>’s attorney</w:t>
      </w:r>
      <w:r w:rsidR="005947AF" w:rsidRPr="007464FB">
        <w:rPr>
          <w:i/>
          <w:szCs w:val="24"/>
        </w:rPr>
        <w:t>.</w:t>
      </w:r>
      <w:r w:rsidR="005947AF">
        <w:rPr>
          <w:i/>
          <w:szCs w:val="24"/>
        </w:rPr>
        <w:t xml:space="preserve">  </w:t>
      </w:r>
    </w:p>
    <w:p w:rsidR="006A7A6D" w:rsidRDefault="006A7A6D" w:rsidP="001C6DA2">
      <w:pPr>
        <w:rPr>
          <w:rFonts w:eastAsia="Calibri"/>
          <w:color w:val="auto"/>
          <w:szCs w:val="24"/>
        </w:rPr>
      </w:pPr>
    </w:p>
    <w:p w:rsidR="00E71632" w:rsidRPr="00E71632" w:rsidRDefault="00E71632" w:rsidP="00E71632">
      <w:pPr>
        <w:rPr>
          <w:rFonts w:eastAsia="Calibri"/>
          <w:color w:val="auto"/>
          <w:szCs w:val="24"/>
          <w:u w:val="single"/>
        </w:rPr>
      </w:pPr>
      <w:r w:rsidRPr="00E71632">
        <w:rPr>
          <w:rFonts w:eastAsia="Calibri"/>
          <w:color w:val="auto"/>
          <w:szCs w:val="24"/>
          <w:u w:val="single"/>
        </w:rPr>
        <w:t>(</w:t>
      </w:r>
      <w:r w:rsidRPr="00E71632">
        <w:rPr>
          <w:rFonts w:eastAsia="Calibri"/>
          <w:color w:val="auto"/>
          <w:szCs w:val="24"/>
        </w:rPr>
        <w:t xml:space="preserve">d)(1) Nothing in this section precludes the parties from participating in an internal utilization review appeal process on a voluntary basis provided the employee </w:t>
      </w:r>
      <w:r w:rsidRPr="00E71632">
        <w:rPr>
          <w:rFonts w:eastAsia="Calibri"/>
          <w:strike/>
          <w:color w:val="auto"/>
          <w:szCs w:val="24"/>
          <w:highlight w:val="yellow"/>
        </w:rPr>
        <w:t>and, if the employee is represented by counsel, the employee's attorney, have</w:t>
      </w:r>
      <w:r w:rsidRPr="00E71632">
        <w:rPr>
          <w:rFonts w:eastAsia="Calibri"/>
          <w:color w:val="auto"/>
          <w:szCs w:val="24"/>
          <w:highlight w:val="yellow"/>
          <w:u w:val="single"/>
        </w:rPr>
        <w:t xml:space="preserve"> has</w:t>
      </w:r>
      <w:r w:rsidRPr="00E71632">
        <w:rPr>
          <w:rFonts w:eastAsia="Calibri"/>
          <w:color w:val="auto"/>
          <w:szCs w:val="24"/>
        </w:rPr>
        <w:t xml:space="preserve"> been notified of the 30-day time limit to file an objection to the utilization review decision in accordance with </w:t>
      </w:r>
      <w:hyperlink r:id="rId13" w:history="1">
        <w:r w:rsidRPr="00E71632">
          <w:rPr>
            <w:rFonts w:eastAsia="Calibri"/>
            <w:color w:val="auto"/>
          </w:rPr>
          <w:t xml:space="preserve">Labor Code sections </w:t>
        </w:r>
      </w:hyperlink>
      <w:r w:rsidRPr="00E71632">
        <w:rPr>
          <w:rFonts w:eastAsia="Calibri"/>
          <w:color w:val="auto"/>
          <w:szCs w:val="24"/>
        </w:rPr>
        <w:t>4610.5 and 4610.6. Any request by the injured worker or treating physician for an internal utilization review appeal process conducted under this subdivision must be submitted to the claims administrator within ten (10) days after the receipt of the utilization review decision.</w:t>
      </w:r>
    </w:p>
    <w:p w:rsidR="00E71632" w:rsidRPr="00E71632" w:rsidRDefault="00CC1431" w:rsidP="00E71632">
      <w:pPr>
        <w:rPr>
          <w:rFonts w:eastAsia="Calibri"/>
          <w:color w:val="auto"/>
          <w:szCs w:val="24"/>
        </w:rPr>
      </w:pPr>
      <w:r w:rsidRPr="00CC1431">
        <w:rPr>
          <w:rFonts w:eastAsia="Calibri"/>
          <w:color w:val="auto"/>
          <w:szCs w:val="24"/>
        </w:rPr>
        <w:t>….</w:t>
      </w:r>
    </w:p>
    <w:p w:rsidR="001C6DA2" w:rsidRPr="001C6DA2" w:rsidRDefault="001C6DA2" w:rsidP="001C6DA2">
      <w:pPr>
        <w:rPr>
          <w:rFonts w:eastAsia="Calibri"/>
          <w:color w:val="auto"/>
          <w:szCs w:val="24"/>
        </w:rPr>
      </w:pPr>
      <w:r w:rsidRPr="001C6DA2">
        <w:rPr>
          <w:rFonts w:eastAsia="Calibri"/>
          <w:color w:val="auto"/>
          <w:szCs w:val="24"/>
        </w:rPr>
        <w:t>(</w:t>
      </w:r>
      <w:r w:rsidR="008E0F6C">
        <w:rPr>
          <w:rFonts w:eastAsia="Calibri"/>
          <w:color w:val="auto"/>
          <w:szCs w:val="24"/>
        </w:rPr>
        <w:t>3</w:t>
      </w:r>
      <w:r w:rsidRPr="001C6DA2">
        <w:rPr>
          <w:rFonts w:eastAsia="Calibri"/>
          <w:color w:val="auto"/>
          <w:szCs w:val="24"/>
        </w:rPr>
        <w:t>)</w:t>
      </w:r>
      <w:r w:rsidR="008E0F6C" w:rsidRPr="008E0F6C">
        <w:rPr>
          <w:rFonts w:eastAsia="Calibri"/>
          <w:color w:val="auto"/>
          <w:szCs w:val="24"/>
        </w:rPr>
        <w:t xml:space="preserve"> Any determination by the claims administrator following an internal utilization review appeal that results in a modification of the requested medical treatment shall be communicated to the requesting physician and the injured worker, </w:t>
      </w:r>
      <w:r w:rsidR="008E0F6C" w:rsidRPr="008E0F6C">
        <w:rPr>
          <w:rFonts w:eastAsia="Calibri"/>
          <w:color w:val="auto"/>
          <w:szCs w:val="24"/>
          <w:highlight w:val="yellow"/>
          <w:u w:val="single"/>
        </w:rPr>
        <w:t>and</w:t>
      </w:r>
      <w:r w:rsidR="008E0F6C">
        <w:rPr>
          <w:rFonts w:eastAsia="Calibri"/>
          <w:color w:val="auto"/>
          <w:szCs w:val="24"/>
          <w:u w:val="single"/>
        </w:rPr>
        <w:t xml:space="preserve"> </w:t>
      </w:r>
      <w:r w:rsidR="008E0F6C" w:rsidRPr="008E0F6C">
        <w:rPr>
          <w:rFonts w:eastAsia="Calibri"/>
          <w:color w:val="auto"/>
          <w:szCs w:val="24"/>
        </w:rPr>
        <w:t>the injured worker’s representative</w:t>
      </w:r>
      <w:r w:rsidR="008E0F6C" w:rsidRPr="002C55B8">
        <w:rPr>
          <w:rFonts w:eastAsia="Calibri"/>
          <w:strike/>
          <w:color w:val="auto"/>
          <w:szCs w:val="24"/>
          <w:highlight w:val="yellow"/>
        </w:rPr>
        <w:t>, and if the injured worker is represented by counsel, the injured worker’s attorney</w:t>
      </w:r>
      <w:r w:rsidR="008E0F6C" w:rsidRPr="008E0F6C">
        <w:rPr>
          <w:rFonts w:eastAsia="Calibri"/>
          <w:color w:val="auto"/>
          <w:szCs w:val="24"/>
        </w:rPr>
        <w:t xml:space="preserve"> according to the requirements set forth in section 9792.9.1(e).  The Application for Independent Medical Review, DWC Form IMR, that accompanies the written decision letter under section 9792.9.1(e)(5)(G) must indicate that the decision is a modification after appeal.</w:t>
      </w:r>
    </w:p>
    <w:p w:rsidR="001C6DA2" w:rsidRPr="001C6DA2" w:rsidRDefault="001C6DA2" w:rsidP="001C6DA2">
      <w:pPr>
        <w:rPr>
          <w:rFonts w:eastAsia="Calibri"/>
          <w:color w:val="auto"/>
          <w:szCs w:val="24"/>
          <w:u w:val="single"/>
        </w:rPr>
      </w:pPr>
    </w:p>
    <w:p w:rsidR="00DE7F84" w:rsidRPr="00C834E8" w:rsidRDefault="00DE7F84" w:rsidP="00DE7F84">
      <w:pPr>
        <w:ind w:left="720"/>
        <w:rPr>
          <w:i/>
          <w:szCs w:val="24"/>
        </w:rPr>
      </w:pPr>
      <w:r w:rsidRPr="00C834E8">
        <w:rPr>
          <w:i/>
          <w:szCs w:val="24"/>
        </w:rPr>
        <w:t>The statute does not authorize the Administrative Director to require applicant attorneys to be copied on notices regarding either utilization review decisions or IMR.  Labor Code section 4610(g) requires the employer to notify the physician and the employee if a utilization review decision can’t be made within the 5 working day/14 day/30 day/72 hour timeframes, but does not require notice to an applicant’s attorney.  A</w:t>
      </w:r>
      <w:r w:rsidR="002C55B8" w:rsidRPr="00C834E8">
        <w:rPr>
          <w:i/>
          <w:szCs w:val="24"/>
        </w:rPr>
        <w:t>lso, a</w:t>
      </w:r>
      <w:r w:rsidRPr="00C834E8">
        <w:rPr>
          <w:i/>
          <w:szCs w:val="24"/>
        </w:rPr>
        <w:t>ccording to Labor Code section 4610.5(j) “A designation of an agent executed prior to the utilization review decision shall not be valid.”  The applicant attorney is not a valid designee if the designation of representation was executed prior to the utilization review decision. The Institute believes that when the Legislature moved the authority to resolve utilization review disputes from the Board to an independent review organization, it removed applicant attorneys from the IMR process.</w:t>
      </w:r>
    </w:p>
    <w:p w:rsidR="002C55B8" w:rsidRPr="00C834E8" w:rsidRDefault="002C55B8" w:rsidP="00DE7F84">
      <w:pPr>
        <w:ind w:left="720"/>
        <w:rPr>
          <w:i/>
          <w:szCs w:val="24"/>
        </w:rPr>
      </w:pPr>
    </w:p>
    <w:p w:rsidR="002C55B8" w:rsidRDefault="002C55B8" w:rsidP="00DE7F84">
      <w:pPr>
        <w:ind w:left="720"/>
        <w:rPr>
          <w:rFonts w:eastAsia="Calibri"/>
          <w:color w:val="auto"/>
          <w:szCs w:val="24"/>
        </w:rPr>
      </w:pPr>
      <w:r w:rsidRPr="00C834E8">
        <w:rPr>
          <w:i/>
          <w:szCs w:val="24"/>
        </w:rPr>
        <w:lastRenderedPageBreak/>
        <w:t>See comments on section 9792.10.1(b)(2)(A) for more detail.</w:t>
      </w:r>
    </w:p>
    <w:p w:rsidR="001C6DA2" w:rsidRDefault="001C6DA2" w:rsidP="001C6DA2">
      <w:pPr>
        <w:ind w:left="720"/>
        <w:rPr>
          <w:rFonts w:eastAsia="Calibri"/>
          <w:i/>
          <w:color w:val="auto"/>
          <w:szCs w:val="24"/>
        </w:rPr>
      </w:pPr>
    </w:p>
    <w:p w:rsidR="001C6DA2" w:rsidRDefault="001C6DA2" w:rsidP="0029521E">
      <w:pPr>
        <w:rPr>
          <w:rFonts w:eastAsia="Calibri"/>
          <w:b/>
          <w:color w:val="auto"/>
          <w:szCs w:val="24"/>
        </w:rPr>
      </w:pPr>
    </w:p>
    <w:p w:rsidR="0029521E" w:rsidRPr="0029521E" w:rsidRDefault="0029521E" w:rsidP="0029521E">
      <w:pPr>
        <w:rPr>
          <w:rFonts w:eastAsia="Calibri"/>
          <w:b/>
          <w:color w:val="auto"/>
          <w:szCs w:val="24"/>
        </w:rPr>
      </w:pPr>
      <w:r w:rsidRPr="00971AD4">
        <w:rPr>
          <w:rFonts w:eastAsia="Calibri"/>
          <w:b/>
          <w:color w:val="auto"/>
          <w:szCs w:val="24"/>
        </w:rPr>
        <w:t>§ 9792.10.2.   Application for Independent Medical Review, DWC Form IMR</w:t>
      </w:r>
    </w:p>
    <w:p w:rsidR="0029521E" w:rsidRDefault="0029521E" w:rsidP="0029521E">
      <w:pPr>
        <w:rPr>
          <w:rFonts w:eastAsia="Calibri"/>
          <w:b/>
          <w:color w:val="auto"/>
          <w:szCs w:val="24"/>
        </w:rPr>
      </w:pPr>
    </w:p>
    <w:p w:rsidR="00D47191" w:rsidRPr="00CB72E1" w:rsidRDefault="00CB72E1" w:rsidP="006947BF">
      <w:pPr>
        <w:rPr>
          <w:rFonts w:eastAsia="Calibri"/>
          <w:i/>
          <w:sz w:val="12"/>
        </w:rPr>
      </w:pPr>
      <w:r w:rsidRPr="00CB72E1">
        <w:rPr>
          <w:rFonts w:eastAsia="Calibri"/>
          <w:color w:val="auto"/>
          <w:szCs w:val="24"/>
        </w:rPr>
        <w:t xml:space="preserve">The </w:t>
      </w:r>
      <w:r>
        <w:rPr>
          <w:rFonts w:eastAsia="Calibri"/>
          <w:color w:val="auto"/>
          <w:szCs w:val="24"/>
        </w:rPr>
        <w:t xml:space="preserve">Institute recommends moving the </w:t>
      </w:r>
      <w:r w:rsidR="00FA326A">
        <w:rPr>
          <w:rFonts w:eastAsia="Calibri"/>
          <w:color w:val="auto"/>
          <w:szCs w:val="24"/>
        </w:rPr>
        <w:t xml:space="preserve">section of the form where the injured </w:t>
      </w:r>
      <w:r>
        <w:rPr>
          <w:rFonts w:eastAsia="Calibri"/>
          <w:color w:val="auto"/>
          <w:szCs w:val="24"/>
        </w:rPr>
        <w:t xml:space="preserve">employee </w:t>
      </w:r>
      <w:r w:rsidR="00FA326A">
        <w:rPr>
          <w:rFonts w:eastAsia="Calibri"/>
          <w:color w:val="auto"/>
          <w:szCs w:val="24"/>
        </w:rPr>
        <w:t>may</w:t>
      </w:r>
      <w:r w:rsidR="005C6554">
        <w:rPr>
          <w:rFonts w:eastAsia="Calibri"/>
          <w:color w:val="auto"/>
          <w:szCs w:val="24"/>
        </w:rPr>
        <w:t xml:space="preserve"> </w:t>
      </w:r>
      <w:r>
        <w:rPr>
          <w:rFonts w:eastAsia="Calibri"/>
          <w:color w:val="auto"/>
          <w:szCs w:val="24"/>
        </w:rPr>
        <w:t>designat</w:t>
      </w:r>
      <w:r w:rsidR="00FA326A">
        <w:rPr>
          <w:rFonts w:eastAsia="Calibri"/>
          <w:color w:val="auto"/>
          <w:szCs w:val="24"/>
        </w:rPr>
        <w:t>e</w:t>
      </w:r>
      <w:r w:rsidRPr="00CB72E1">
        <w:rPr>
          <w:rFonts w:eastAsia="Calibri"/>
          <w:color w:val="auto"/>
          <w:szCs w:val="24"/>
        </w:rPr>
        <w:t xml:space="preserve"> </w:t>
      </w:r>
      <w:r w:rsidR="00374336">
        <w:rPr>
          <w:rFonts w:eastAsia="Calibri"/>
          <w:color w:val="auto"/>
          <w:szCs w:val="24"/>
        </w:rPr>
        <w:t xml:space="preserve">an individual </w:t>
      </w:r>
      <w:r w:rsidR="00054FA1">
        <w:rPr>
          <w:rFonts w:eastAsia="Calibri"/>
          <w:color w:val="auto"/>
          <w:szCs w:val="24"/>
        </w:rPr>
        <w:t xml:space="preserve">as an agent to act on his or her behalf, </w:t>
      </w:r>
      <w:r w:rsidR="005C6554">
        <w:rPr>
          <w:rFonts w:eastAsia="Calibri"/>
          <w:color w:val="auto"/>
          <w:szCs w:val="24"/>
        </w:rPr>
        <w:t>to the</w:t>
      </w:r>
      <w:r w:rsidR="00374336">
        <w:rPr>
          <w:rFonts w:eastAsia="Calibri"/>
          <w:color w:val="auto"/>
          <w:szCs w:val="24"/>
        </w:rPr>
        <w:t xml:space="preserve"> </w:t>
      </w:r>
      <w:r w:rsidR="00054FA1">
        <w:rPr>
          <w:rFonts w:eastAsia="Calibri"/>
          <w:color w:val="auto"/>
          <w:szCs w:val="24"/>
        </w:rPr>
        <w:t>DWC</w:t>
      </w:r>
      <w:r w:rsidR="001C6E86">
        <w:rPr>
          <w:rFonts w:eastAsia="Calibri"/>
          <w:color w:val="auto"/>
          <w:szCs w:val="24"/>
        </w:rPr>
        <w:t xml:space="preserve"> Form</w:t>
      </w:r>
      <w:r w:rsidR="005C6554">
        <w:rPr>
          <w:rFonts w:eastAsia="Calibri"/>
          <w:color w:val="auto"/>
          <w:szCs w:val="24"/>
        </w:rPr>
        <w:t xml:space="preserve"> IMR.</w:t>
      </w:r>
      <w:r w:rsidR="00D81651">
        <w:rPr>
          <w:rFonts w:eastAsia="Calibri"/>
          <w:color w:val="auto"/>
          <w:szCs w:val="24"/>
        </w:rPr>
        <w:t xml:space="preserve"> </w:t>
      </w:r>
    </w:p>
    <w:p w:rsidR="00FA326A" w:rsidRDefault="00FA326A" w:rsidP="00FA326A">
      <w:pPr>
        <w:rPr>
          <w:rFonts w:eastAsia="Calibri"/>
          <w:i/>
        </w:rPr>
      </w:pPr>
    </w:p>
    <w:p w:rsidR="00FA326A" w:rsidRPr="00372AB0" w:rsidRDefault="001C2AD2" w:rsidP="00FA326A">
      <w:pPr>
        <w:ind w:left="720"/>
        <w:rPr>
          <w:rFonts w:eastAsia="Calibri"/>
          <w:i/>
        </w:rPr>
      </w:pPr>
      <w:r w:rsidRPr="00CB72E1">
        <w:rPr>
          <w:rFonts w:eastAsia="Calibri"/>
          <w:i/>
        </w:rPr>
        <w:t xml:space="preserve">Requiring the injured employee's </w:t>
      </w:r>
      <w:r w:rsidR="001C6E86">
        <w:rPr>
          <w:rFonts w:eastAsia="Calibri"/>
          <w:i/>
        </w:rPr>
        <w:t xml:space="preserve">designation </w:t>
      </w:r>
      <w:r w:rsidR="00473076" w:rsidRPr="00473076">
        <w:rPr>
          <w:rFonts w:eastAsia="Calibri"/>
          <w:i/>
        </w:rPr>
        <w:t>with signature and date</w:t>
      </w:r>
      <w:r w:rsidR="001C6E86">
        <w:rPr>
          <w:rFonts w:eastAsia="Calibri"/>
          <w:i/>
        </w:rPr>
        <w:t xml:space="preserve"> on the DWC Form IMR </w:t>
      </w:r>
      <w:r w:rsidR="00372AB0">
        <w:rPr>
          <w:rFonts w:eastAsia="Calibri"/>
          <w:i/>
        </w:rPr>
        <w:t xml:space="preserve">that includes the disputed </w:t>
      </w:r>
      <w:r w:rsidR="001755E1">
        <w:rPr>
          <w:rFonts w:eastAsia="Calibri"/>
          <w:i/>
        </w:rPr>
        <w:t xml:space="preserve">medical treatment </w:t>
      </w:r>
      <w:r w:rsidR="001C6E86">
        <w:rPr>
          <w:rFonts w:eastAsia="Calibri"/>
          <w:i/>
        </w:rPr>
        <w:t xml:space="preserve">will </w:t>
      </w:r>
      <w:r w:rsidR="00372AB0">
        <w:rPr>
          <w:rFonts w:eastAsia="Calibri"/>
          <w:i/>
        </w:rPr>
        <w:t>validate</w:t>
      </w:r>
      <w:r w:rsidRPr="00CB72E1">
        <w:rPr>
          <w:rFonts w:eastAsia="Calibri"/>
          <w:i/>
        </w:rPr>
        <w:t xml:space="preserve"> that </w:t>
      </w:r>
      <w:r w:rsidR="00473076">
        <w:rPr>
          <w:rFonts w:eastAsia="Calibri"/>
          <w:i/>
        </w:rPr>
        <w:t xml:space="preserve">the representative </w:t>
      </w:r>
      <w:r w:rsidR="00372AB0">
        <w:rPr>
          <w:rFonts w:eastAsia="Calibri"/>
          <w:i/>
        </w:rPr>
        <w:t>was</w:t>
      </w:r>
      <w:r w:rsidR="00473076">
        <w:rPr>
          <w:rFonts w:eastAsia="Calibri"/>
          <w:i/>
        </w:rPr>
        <w:t xml:space="preserve"> designated</w:t>
      </w:r>
      <w:r w:rsidR="00372AB0">
        <w:rPr>
          <w:rFonts w:eastAsia="Calibri"/>
          <w:i/>
        </w:rPr>
        <w:t xml:space="preserve"> after the UR decision.  According to Labor Code section</w:t>
      </w:r>
      <w:r w:rsidR="00FA326A" w:rsidRPr="00372AB0">
        <w:rPr>
          <w:rFonts w:eastAsia="Calibri"/>
          <w:i/>
        </w:rPr>
        <w:t xml:space="preserve"> 4610.5(j)</w:t>
      </w:r>
      <w:r w:rsidR="001755E1">
        <w:rPr>
          <w:rFonts w:eastAsia="Calibri"/>
          <w:i/>
        </w:rPr>
        <w:t xml:space="preserve">, “a designation of an agent executed prior to the utilization review decision shall not be valid.”  If the designation is made on a </w:t>
      </w:r>
      <w:r w:rsidR="00F60269">
        <w:rPr>
          <w:rFonts w:eastAsia="Calibri"/>
          <w:i/>
        </w:rPr>
        <w:t xml:space="preserve">page </w:t>
      </w:r>
      <w:r w:rsidR="0096194C">
        <w:rPr>
          <w:rFonts w:eastAsia="Calibri"/>
          <w:i/>
        </w:rPr>
        <w:t>separate from the IMR application form that includes the list of the disputed medical treatment</w:t>
      </w:r>
      <w:r w:rsidR="001755E1">
        <w:rPr>
          <w:rFonts w:eastAsia="Calibri"/>
          <w:i/>
        </w:rPr>
        <w:t xml:space="preserve">, </w:t>
      </w:r>
      <w:r w:rsidR="004438D3">
        <w:rPr>
          <w:rFonts w:eastAsia="Calibri"/>
          <w:i/>
        </w:rPr>
        <w:t>there is no way to prevent post-dating</w:t>
      </w:r>
      <w:r w:rsidR="0096194C">
        <w:rPr>
          <w:rFonts w:eastAsia="Calibri"/>
          <w:i/>
        </w:rPr>
        <w:t xml:space="preserve"> of the designation</w:t>
      </w:r>
      <w:r w:rsidR="004438D3">
        <w:rPr>
          <w:rFonts w:eastAsia="Calibri"/>
          <w:i/>
        </w:rPr>
        <w:t>.  If it must be on the DWC Form IMR completed by the claims administrator with the disputed treatment, it cannot be post-dated.</w:t>
      </w:r>
      <w:r w:rsidR="001755E1">
        <w:rPr>
          <w:rFonts w:eastAsia="Calibri"/>
          <w:i/>
        </w:rPr>
        <w:t xml:space="preserve"> </w:t>
      </w:r>
    </w:p>
    <w:p w:rsidR="00FA326A" w:rsidRPr="00CB72E1" w:rsidRDefault="00FA326A" w:rsidP="00FA326A">
      <w:pPr>
        <w:rPr>
          <w:rFonts w:eastAsia="Calibri"/>
          <w:i/>
          <w:sz w:val="12"/>
        </w:rPr>
      </w:pPr>
    </w:p>
    <w:p w:rsidR="004438D3" w:rsidRDefault="004438D3" w:rsidP="004438D3">
      <w:pPr>
        <w:rPr>
          <w:rFonts w:eastAsia="Calibri"/>
          <w:b/>
          <w:color w:val="auto"/>
          <w:szCs w:val="24"/>
        </w:rPr>
      </w:pPr>
    </w:p>
    <w:p w:rsidR="001C2AD2" w:rsidRPr="00CB72E1" w:rsidRDefault="004438D3" w:rsidP="004438D3">
      <w:pPr>
        <w:rPr>
          <w:rFonts w:eastAsia="Calibri"/>
          <w:i/>
        </w:rPr>
      </w:pPr>
      <w:r w:rsidRPr="00CB72E1">
        <w:rPr>
          <w:rFonts w:eastAsia="Calibri"/>
          <w:color w:val="auto"/>
          <w:szCs w:val="24"/>
        </w:rPr>
        <w:t xml:space="preserve">The </w:t>
      </w:r>
      <w:r>
        <w:rPr>
          <w:rFonts w:eastAsia="Calibri"/>
          <w:color w:val="auto"/>
          <w:szCs w:val="24"/>
        </w:rPr>
        <w:t>Institute also recommends</w:t>
      </w:r>
      <w:r w:rsidR="00975BC1">
        <w:rPr>
          <w:rFonts w:eastAsia="Calibri"/>
          <w:color w:val="auto"/>
          <w:szCs w:val="24"/>
        </w:rPr>
        <w:t xml:space="preserve"> changing the recipient of the application</w:t>
      </w:r>
      <w:r w:rsidR="002909F4">
        <w:rPr>
          <w:rFonts w:eastAsia="Calibri"/>
          <w:color w:val="auto"/>
          <w:szCs w:val="24"/>
        </w:rPr>
        <w:t xml:space="preserve"> from Maximus to the Administrative Director or the </w:t>
      </w:r>
      <w:r w:rsidR="002909F4" w:rsidRPr="002909F4">
        <w:rPr>
          <w:rFonts w:eastAsia="Calibri"/>
        </w:rPr>
        <w:t>Administrative Director’s designee</w:t>
      </w:r>
      <w:r w:rsidR="002909F4">
        <w:rPr>
          <w:rFonts w:eastAsia="Calibri"/>
        </w:rPr>
        <w:t xml:space="preserve"> at the DWC.</w:t>
      </w:r>
    </w:p>
    <w:p w:rsidR="009667AD" w:rsidRPr="004438D3" w:rsidRDefault="009667AD" w:rsidP="004438D3">
      <w:pPr>
        <w:pStyle w:val="ListParagraph"/>
        <w:ind w:left="0"/>
        <w:rPr>
          <w:rFonts w:eastAsia="Calibri"/>
        </w:rPr>
      </w:pPr>
    </w:p>
    <w:p w:rsidR="001C2AD2" w:rsidRPr="00B66F8B" w:rsidRDefault="0074730E" w:rsidP="0004292E">
      <w:pPr>
        <w:ind w:left="720"/>
        <w:rPr>
          <w:rFonts w:eastAsia="Calibri"/>
          <w:i/>
        </w:rPr>
      </w:pPr>
      <w:r>
        <w:rPr>
          <w:rFonts w:eastAsia="Calibri"/>
          <w:i/>
          <w:color w:val="auto"/>
          <w:szCs w:val="24"/>
        </w:rPr>
        <w:t>The Institute believes that t</w:t>
      </w:r>
      <w:r w:rsidRPr="00AE4FCD">
        <w:rPr>
          <w:rFonts w:eastAsia="Calibri"/>
          <w:i/>
          <w:color w:val="auto"/>
          <w:szCs w:val="24"/>
        </w:rPr>
        <w:t>he IMR application form must be reviewed for eligibility</w:t>
      </w:r>
      <w:r>
        <w:rPr>
          <w:rFonts w:eastAsia="Calibri"/>
          <w:i/>
          <w:color w:val="auto"/>
          <w:szCs w:val="24"/>
        </w:rPr>
        <w:t xml:space="preserve"> </w:t>
      </w:r>
      <w:r w:rsidRPr="00AE4FCD">
        <w:rPr>
          <w:rFonts w:eastAsia="Calibri"/>
          <w:i/>
          <w:color w:val="auto"/>
          <w:szCs w:val="24"/>
        </w:rPr>
        <w:t xml:space="preserve">by the Administrative Director or her impartial, disinterested designee before being assigned to the IMR contractor, which has a clear financial interest in the review.  </w:t>
      </w:r>
      <w:r w:rsidR="003A461B">
        <w:rPr>
          <w:rFonts w:eastAsia="Calibri"/>
          <w:i/>
        </w:rPr>
        <w:t>To avoid the</w:t>
      </w:r>
      <w:r w:rsidR="001C2AD2" w:rsidRPr="00B66F8B">
        <w:rPr>
          <w:rFonts w:eastAsia="Calibri"/>
          <w:i/>
        </w:rPr>
        <w:t xml:space="preserve"> financial conflict of interest </w:t>
      </w:r>
      <w:r w:rsidR="003A461B">
        <w:rPr>
          <w:rFonts w:eastAsia="Calibri"/>
          <w:i/>
        </w:rPr>
        <w:t>described more fully in the introduction</w:t>
      </w:r>
      <w:r w:rsidR="009667AD">
        <w:rPr>
          <w:rFonts w:eastAsia="Calibri"/>
          <w:i/>
        </w:rPr>
        <w:t xml:space="preserve"> to</w:t>
      </w:r>
      <w:r w:rsidR="001C2AD2" w:rsidRPr="00B66F8B">
        <w:rPr>
          <w:rFonts w:eastAsia="Calibri"/>
          <w:i/>
        </w:rPr>
        <w:t xml:space="preserve"> th</w:t>
      </w:r>
      <w:r w:rsidR="009667AD">
        <w:rPr>
          <w:rFonts w:eastAsia="Calibri"/>
          <w:i/>
        </w:rPr>
        <w:t>ese</w:t>
      </w:r>
      <w:r w:rsidR="001C2AD2" w:rsidRPr="00B66F8B">
        <w:rPr>
          <w:rFonts w:eastAsia="Calibri"/>
          <w:i/>
        </w:rPr>
        <w:t xml:space="preserve"> </w:t>
      </w:r>
      <w:r w:rsidR="009667AD">
        <w:rPr>
          <w:rFonts w:eastAsia="Calibri"/>
          <w:i/>
        </w:rPr>
        <w:t>comments</w:t>
      </w:r>
      <w:r w:rsidR="003A461B">
        <w:rPr>
          <w:rFonts w:eastAsia="Calibri"/>
          <w:i/>
        </w:rPr>
        <w:t>, t</w:t>
      </w:r>
      <w:r w:rsidR="001C2AD2" w:rsidRPr="00B66F8B">
        <w:rPr>
          <w:rFonts w:eastAsia="Calibri"/>
          <w:i/>
        </w:rPr>
        <w:t xml:space="preserve">he Institute believes the application must instruct the injured employee to submit the application either directly to the </w:t>
      </w:r>
      <w:r w:rsidR="004438D3">
        <w:rPr>
          <w:rFonts w:eastAsia="Calibri"/>
          <w:i/>
        </w:rPr>
        <w:t xml:space="preserve">Administrative </w:t>
      </w:r>
      <w:r w:rsidR="00975BC1">
        <w:rPr>
          <w:rFonts w:eastAsia="Calibri"/>
          <w:i/>
        </w:rPr>
        <w:t xml:space="preserve">Director or to the Administrative Director’s designee </w:t>
      </w:r>
      <w:r w:rsidR="003A461B">
        <w:rPr>
          <w:rFonts w:eastAsia="Calibri"/>
          <w:i/>
        </w:rPr>
        <w:t>at the</w:t>
      </w:r>
      <w:r w:rsidR="00975BC1">
        <w:rPr>
          <w:rFonts w:eastAsia="Calibri"/>
          <w:i/>
        </w:rPr>
        <w:t xml:space="preserve"> </w:t>
      </w:r>
      <w:r w:rsidR="001C2AD2" w:rsidRPr="00B66F8B">
        <w:rPr>
          <w:rFonts w:eastAsia="Calibri"/>
          <w:i/>
        </w:rPr>
        <w:t>Div</w:t>
      </w:r>
      <w:r w:rsidR="003A461B">
        <w:rPr>
          <w:rFonts w:eastAsia="Calibri"/>
          <w:i/>
        </w:rPr>
        <w:t>ision of Workers' Compensation.</w:t>
      </w:r>
    </w:p>
    <w:p w:rsidR="001C2AD2" w:rsidRDefault="001C2AD2" w:rsidP="001C2AD2">
      <w:pPr>
        <w:ind w:left="720"/>
        <w:rPr>
          <w:rFonts w:eastAsia="Calibri"/>
          <w:i/>
          <w:color w:val="auto"/>
          <w:szCs w:val="24"/>
        </w:rPr>
      </w:pPr>
    </w:p>
    <w:p w:rsidR="0029521E" w:rsidRPr="0029521E" w:rsidRDefault="0029521E" w:rsidP="0029521E">
      <w:pPr>
        <w:rPr>
          <w:rFonts w:eastAsia="Calibri"/>
          <w:b/>
          <w:color w:val="auto"/>
          <w:szCs w:val="24"/>
        </w:rPr>
      </w:pPr>
    </w:p>
    <w:p w:rsidR="0029521E" w:rsidRPr="0029521E" w:rsidRDefault="0029521E" w:rsidP="0029521E">
      <w:pPr>
        <w:rPr>
          <w:rFonts w:eastAsia="Calibri"/>
          <w:b/>
          <w:color w:val="auto"/>
          <w:szCs w:val="24"/>
        </w:rPr>
      </w:pPr>
      <w:r w:rsidRPr="0029521E">
        <w:rPr>
          <w:rFonts w:eastAsia="Calibri"/>
          <w:b/>
          <w:color w:val="auto"/>
          <w:szCs w:val="24"/>
        </w:rPr>
        <w:t>§ 9792.10.3.  Independent Medical Review – Initial Review of Application</w:t>
      </w:r>
    </w:p>
    <w:p w:rsidR="0029521E" w:rsidRPr="0029521E" w:rsidRDefault="0029521E" w:rsidP="0029521E">
      <w:pPr>
        <w:rPr>
          <w:rFonts w:eastAsia="Calibri"/>
          <w:color w:val="auto"/>
          <w:szCs w:val="24"/>
        </w:rPr>
      </w:pPr>
    </w:p>
    <w:p w:rsidR="0074730E" w:rsidRPr="0074730E" w:rsidRDefault="0074730E" w:rsidP="0074730E">
      <w:pPr>
        <w:rPr>
          <w:rFonts w:eastAsia="Calibri"/>
          <w:color w:val="auto"/>
          <w:szCs w:val="24"/>
          <w:u w:val="single"/>
        </w:rPr>
      </w:pPr>
      <w:r w:rsidRPr="0074730E">
        <w:rPr>
          <w:rFonts w:eastAsia="Calibri"/>
          <w:color w:val="auto"/>
          <w:szCs w:val="24"/>
        </w:rPr>
        <w:t xml:space="preserve">(b) The Administrative Director may reasonably request additional appropriate information from the parties in order to make a determination that a disputed medical treatment is eligible for independent medical review.  The Administrative Director shall advise the claims administrator, the employee, </w:t>
      </w:r>
      <w:r w:rsidRPr="0074730E">
        <w:rPr>
          <w:rFonts w:eastAsia="Calibri"/>
          <w:strike/>
          <w:color w:val="auto"/>
          <w:szCs w:val="24"/>
          <w:highlight w:val="yellow"/>
        </w:rPr>
        <w:t>if the employee is represented by counsel, the employee’s attorney</w:t>
      </w:r>
      <w:r w:rsidRPr="00B900E4">
        <w:rPr>
          <w:rFonts w:eastAsia="Calibri"/>
          <w:strike/>
          <w:color w:val="auto"/>
          <w:szCs w:val="24"/>
          <w:highlight w:val="yellow"/>
        </w:rPr>
        <w:t>,</w:t>
      </w:r>
      <w:r w:rsidRPr="00B900E4">
        <w:rPr>
          <w:rFonts w:eastAsia="Calibri"/>
          <w:color w:val="auto"/>
          <w:szCs w:val="24"/>
        </w:rPr>
        <w:t xml:space="preserve"> and the employee’s provider requesting physician, as appropriate, by the most efficient means available.</w:t>
      </w:r>
    </w:p>
    <w:p w:rsidR="00EE3EBE" w:rsidRDefault="00EE3EBE" w:rsidP="00971AD4">
      <w:pPr>
        <w:rPr>
          <w:rFonts w:eastAsia="Calibri"/>
          <w:color w:val="auto"/>
          <w:szCs w:val="24"/>
        </w:rPr>
      </w:pPr>
    </w:p>
    <w:p w:rsidR="00B900E4" w:rsidRPr="00F60269" w:rsidRDefault="00B900E4" w:rsidP="00B900E4">
      <w:pPr>
        <w:ind w:left="720"/>
        <w:rPr>
          <w:i/>
          <w:szCs w:val="24"/>
        </w:rPr>
      </w:pPr>
      <w:r w:rsidRPr="00F60269">
        <w:rPr>
          <w:i/>
          <w:szCs w:val="24"/>
        </w:rPr>
        <w:t xml:space="preserve">The statute does not authorize the Administrative Director to require applicant attorneys to be copied on notices regarding either utilization review decisions or IMR.  According to Labor Code section 4610.5(j) “A designation of an agent executed prior to the utilization review decision shall not be valid.”  The applicant attorney is not a valid designee if the designation of representation was executed prior to the utilization review decision. </w:t>
      </w:r>
      <w:r w:rsidR="00030C21" w:rsidRPr="00F60269">
        <w:rPr>
          <w:i/>
          <w:szCs w:val="24"/>
        </w:rPr>
        <w:t>W</w:t>
      </w:r>
      <w:r w:rsidRPr="00F60269">
        <w:rPr>
          <w:i/>
          <w:szCs w:val="24"/>
        </w:rPr>
        <w:t xml:space="preserve">hen the Legislature moved the </w:t>
      </w:r>
      <w:r w:rsidRPr="00F60269">
        <w:rPr>
          <w:i/>
          <w:szCs w:val="24"/>
        </w:rPr>
        <w:lastRenderedPageBreak/>
        <w:t xml:space="preserve">authority to resolve utilization review disputes from the Board to an independent review organization, it removed applicant attorneys from </w:t>
      </w:r>
      <w:r w:rsidR="00774B23" w:rsidRPr="00F60269">
        <w:rPr>
          <w:i/>
          <w:szCs w:val="24"/>
        </w:rPr>
        <w:t>medical treatment dispute</w:t>
      </w:r>
      <w:r w:rsidRPr="00F60269">
        <w:rPr>
          <w:i/>
          <w:szCs w:val="24"/>
        </w:rPr>
        <w:t xml:space="preserve"> process.</w:t>
      </w:r>
    </w:p>
    <w:p w:rsidR="00B900E4" w:rsidRPr="00F60269" w:rsidRDefault="00B900E4" w:rsidP="00B900E4">
      <w:pPr>
        <w:ind w:left="720"/>
        <w:rPr>
          <w:i/>
          <w:szCs w:val="24"/>
        </w:rPr>
      </w:pPr>
    </w:p>
    <w:p w:rsidR="00B900E4" w:rsidRDefault="00B900E4" w:rsidP="00B900E4">
      <w:pPr>
        <w:ind w:left="720"/>
        <w:rPr>
          <w:rFonts w:eastAsia="Calibri"/>
          <w:color w:val="auto"/>
          <w:szCs w:val="24"/>
        </w:rPr>
      </w:pPr>
      <w:r w:rsidRPr="00F60269">
        <w:rPr>
          <w:i/>
          <w:szCs w:val="24"/>
        </w:rPr>
        <w:t>See comments on section 9792.10.1(b)(2)(A) for more detail.</w:t>
      </w:r>
    </w:p>
    <w:p w:rsidR="00B900E4" w:rsidRDefault="00B900E4" w:rsidP="00971AD4">
      <w:pPr>
        <w:rPr>
          <w:rFonts w:eastAsia="Calibri"/>
          <w:color w:val="auto"/>
          <w:szCs w:val="24"/>
        </w:rPr>
      </w:pPr>
    </w:p>
    <w:p w:rsidR="003D5087" w:rsidRPr="003D5087" w:rsidRDefault="003D5087" w:rsidP="003D5087">
      <w:pPr>
        <w:rPr>
          <w:rFonts w:eastAsia="Calibri"/>
          <w:color w:val="auto"/>
          <w:szCs w:val="24"/>
        </w:rPr>
      </w:pPr>
      <w:r w:rsidRPr="003D5087">
        <w:rPr>
          <w:rFonts w:eastAsia="Calibri"/>
          <w:color w:val="auto"/>
          <w:szCs w:val="24"/>
        </w:rPr>
        <w:t xml:space="preserve">(c) The parties shall respond to any reasonable request made pursuant to subdivision (b) within </w:t>
      </w:r>
      <w:r w:rsidRPr="00F72521">
        <w:rPr>
          <w:rFonts w:eastAsia="Calibri"/>
          <w:color w:val="auto"/>
          <w:szCs w:val="24"/>
        </w:rPr>
        <w:t xml:space="preserve">five </w:t>
      </w:r>
      <w:r w:rsidR="00F72521" w:rsidRPr="00F72521">
        <w:rPr>
          <w:rFonts w:eastAsia="Calibri"/>
          <w:strike/>
          <w:color w:val="auto"/>
          <w:szCs w:val="24"/>
          <w:highlight w:val="yellow"/>
        </w:rPr>
        <w:t>business</w:t>
      </w:r>
      <w:r w:rsidR="00F72521" w:rsidRPr="00F72521">
        <w:rPr>
          <w:rFonts w:eastAsia="Calibri"/>
          <w:strike/>
          <w:color w:val="auto"/>
          <w:szCs w:val="24"/>
        </w:rPr>
        <w:t xml:space="preserve"> </w:t>
      </w:r>
      <w:r w:rsidRPr="00F72521">
        <w:rPr>
          <w:rFonts w:eastAsia="Calibri"/>
          <w:color w:val="auto"/>
          <w:szCs w:val="24"/>
        </w:rPr>
        <w:t xml:space="preserve">(5) </w:t>
      </w:r>
      <w:r w:rsidR="00F72521" w:rsidRPr="00F72521">
        <w:rPr>
          <w:rFonts w:eastAsia="Calibri"/>
          <w:color w:val="auto"/>
          <w:szCs w:val="24"/>
          <w:highlight w:val="yellow"/>
          <w:u w:val="single"/>
        </w:rPr>
        <w:t>business</w:t>
      </w:r>
      <w:r w:rsidR="00F72521">
        <w:rPr>
          <w:rFonts w:eastAsia="Calibri"/>
          <w:color w:val="auto"/>
          <w:szCs w:val="24"/>
          <w:u w:val="single"/>
        </w:rPr>
        <w:t xml:space="preserve"> </w:t>
      </w:r>
      <w:r w:rsidRPr="003D5087">
        <w:rPr>
          <w:rFonts w:eastAsia="Calibri"/>
          <w:color w:val="auto"/>
          <w:szCs w:val="24"/>
        </w:rPr>
        <w:t xml:space="preserve">days following receipt of the request. Following receipt of all information necessary to make a determination, the Administrative Director shall either immediately inform the parties in writing that a disputed medical treatment is not eligible for independent medical review and the reasons therefor, or assign the request to independent medical review under section 9792.10.4.    </w:t>
      </w:r>
    </w:p>
    <w:p w:rsidR="003D5087" w:rsidRPr="003D5087" w:rsidRDefault="003D5087" w:rsidP="003D5087">
      <w:pPr>
        <w:rPr>
          <w:rFonts w:eastAsia="Calibri"/>
          <w:color w:val="auto"/>
          <w:szCs w:val="24"/>
        </w:rPr>
      </w:pPr>
    </w:p>
    <w:p w:rsidR="003D5087" w:rsidRPr="003D5087" w:rsidRDefault="003D5087" w:rsidP="003D5087">
      <w:pPr>
        <w:ind w:left="720"/>
        <w:rPr>
          <w:rFonts w:eastAsia="Calibri"/>
          <w:i/>
          <w:color w:val="auto"/>
          <w:szCs w:val="24"/>
        </w:rPr>
      </w:pPr>
      <w:r w:rsidRPr="003D5087">
        <w:rPr>
          <w:rFonts w:eastAsia="Calibri"/>
          <w:i/>
          <w:color w:val="auto"/>
          <w:szCs w:val="24"/>
        </w:rPr>
        <w:t xml:space="preserve">The timeframe to respond to the request </w:t>
      </w:r>
      <w:r w:rsidR="00F0798A">
        <w:rPr>
          <w:rFonts w:eastAsia="Calibri"/>
          <w:i/>
          <w:color w:val="auto"/>
          <w:szCs w:val="24"/>
        </w:rPr>
        <w:t>was previously</w:t>
      </w:r>
      <w:r w:rsidRPr="003D5087">
        <w:rPr>
          <w:rFonts w:eastAsia="Calibri"/>
          <w:i/>
          <w:color w:val="auto"/>
          <w:szCs w:val="24"/>
        </w:rPr>
        <w:t xml:space="preserve"> reduced to five days from fifteen</w:t>
      </w:r>
      <w:r w:rsidR="00F0798A">
        <w:rPr>
          <w:rFonts w:eastAsia="Calibri"/>
          <w:i/>
          <w:color w:val="auto"/>
          <w:szCs w:val="24"/>
        </w:rPr>
        <w:t xml:space="preserve"> and now has been modified to five business days</w:t>
      </w:r>
      <w:r w:rsidRPr="003D5087">
        <w:rPr>
          <w:rFonts w:eastAsia="Calibri"/>
          <w:i/>
          <w:color w:val="auto"/>
          <w:szCs w:val="24"/>
        </w:rPr>
        <w:t xml:space="preserve">.  Five </w:t>
      </w:r>
      <w:r w:rsidR="00F0798A">
        <w:rPr>
          <w:rFonts w:eastAsia="Calibri"/>
          <w:i/>
          <w:color w:val="auto"/>
          <w:szCs w:val="24"/>
        </w:rPr>
        <w:t xml:space="preserve">business </w:t>
      </w:r>
      <w:r w:rsidRPr="003D5087">
        <w:rPr>
          <w:rFonts w:eastAsia="Calibri"/>
          <w:i/>
          <w:color w:val="auto"/>
          <w:szCs w:val="24"/>
        </w:rPr>
        <w:t xml:space="preserve">days </w:t>
      </w:r>
      <w:r w:rsidR="00BF2AE6">
        <w:rPr>
          <w:rFonts w:eastAsia="Calibri"/>
          <w:i/>
          <w:color w:val="auto"/>
          <w:szCs w:val="24"/>
        </w:rPr>
        <w:t>provides</w:t>
      </w:r>
      <w:r w:rsidRPr="003D5087">
        <w:rPr>
          <w:rFonts w:eastAsia="Calibri"/>
          <w:i/>
          <w:color w:val="auto"/>
          <w:szCs w:val="24"/>
        </w:rPr>
        <w:t xml:space="preserve"> </w:t>
      </w:r>
      <w:r w:rsidR="00F0798A">
        <w:rPr>
          <w:rFonts w:eastAsia="Calibri"/>
          <w:i/>
          <w:color w:val="auto"/>
          <w:szCs w:val="24"/>
        </w:rPr>
        <w:t>inadequate</w:t>
      </w:r>
      <w:r w:rsidRPr="003D5087">
        <w:rPr>
          <w:rFonts w:eastAsia="Calibri"/>
          <w:i/>
          <w:color w:val="auto"/>
          <w:szCs w:val="24"/>
        </w:rPr>
        <w:t xml:space="preserve"> time in which to identify the request, locate and obtain the requested information and to transmit the information to the Administrative Director, particularly if information must be obtained from third parties or disparate locations.  </w:t>
      </w:r>
      <w:r w:rsidR="00F0798A">
        <w:rPr>
          <w:rFonts w:eastAsia="Calibri"/>
          <w:i/>
          <w:color w:val="auto"/>
          <w:szCs w:val="24"/>
        </w:rPr>
        <w:t>T</w:t>
      </w:r>
      <w:r w:rsidRPr="003D5087">
        <w:rPr>
          <w:rFonts w:eastAsia="Calibri"/>
          <w:i/>
          <w:color w:val="auto"/>
          <w:szCs w:val="24"/>
        </w:rPr>
        <w:t xml:space="preserve">he Institute recommends </w:t>
      </w:r>
      <w:r w:rsidR="00F0798A">
        <w:rPr>
          <w:rFonts w:eastAsia="Calibri"/>
          <w:i/>
          <w:color w:val="auto"/>
          <w:szCs w:val="24"/>
        </w:rPr>
        <w:t>allowing at least ten days</w:t>
      </w:r>
      <w:r w:rsidRPr="003D5087">
        <w:rPr>
          <w:rFonts w:eastAsia="Calibri"/>
          <w:i/>
          <w:color w:val="auto"/>
          <w:szCs w:val="24"/>
        </w:rPr>
        <w:t xml:space="preserve"> </w:t>
      </w:r>
      <w:r w:rsidR="00B237A0">
        <w:rPr>
          <w:rFonts w:eastAsia="Calibri"/>
          <w:i/>
          <w:color w:val="auto"/>
          <w:szCs w:val="24"/>
        </w:rPr>
        <w:t>for</w:t>
      </w:r>
      <w:r w:rsidRPr="003D5087">
        <w:rPr>
          <w:rFonts w:eastAsia="Calibri"/>
          <w:i/>
          <w:color w:val="auto"/>
          <w:szCs w:val="24"/>
        </w:rPr>
        <w:t xml:space="preserve"> parties </w:t>
      </w:r>
      <w:r w:rsidR="00B237A0">
        <w:rPr>
          <w:rFonts w:eastAsia="Calibri"/>
          <w:i/>
          <w:color w:val="auto"/>
          <w:szCs w:val="24"/>
        </w:rPr>
        <w:t>to</w:t>
      </w:r>
      <w:r w:rsidRPr="003D5087">
        <w:rPr>
          <w:rFonts w:eastAsia="Calibri"/>
          <w:i/>
          <w:color w:val="auto"/>
          <w:szCs w:val="24"/>
        </w:rPr>
        <w:t xml:space="preserve"> respond.  If</w:t>
      </w:r>
      <w:r w:rsidR="008B6968">
        <w:rPr>
          <w:rFonts w:eastAsia="Calibri"/>
          <w:i/>
          <w:color w:val="auto"/>
          <w:szCs w:val="24"/>
        </w:rPr>
        <w:t>,</w:t>
      </w:r>
      <w:r w:rsidR="000F57E0">
        <w:rPr>
          <w:rFonts w:eastAsia="Calibri"/>
          <w:i/>
          <w:color w:val="auto"/>
          <w:szCs w:val="24"/>
        </w:rPr>
        <w:t xml:space="preserve"> however</w:t>
      </w:r>
      <w:r w:rsidR="008B6968">
        <w:rPr>
          <w:rFonts w:eastAsia="Calibri"/>
          <w:i/>
          <w:color w:val="auto"/>
          <w:szCs w:val="24"/>
        </w:rPr>
        <w:t>,</w:t>
      </w:r>
      <w:r w:rsidRPr="003D5087">
        <w:rPr>
          <w:rFonts w:eastAsia="Calibri"/>
          <w:i/>
          <w:color w:val="auto"/>
          <w:szCs w:val="24"/>
        </w:rPr>
        <w:t xml:space="preserve"> the Administrative Director </w:t>
      </w:r>
      <w:r w:rsidR="00B237A0">
        <w:rPr>
          <w:rFonts w:eastAsia="Calibri"/>
          <w:i/>
          <w:color w:val="auto"/>
          <w:szCs w:val="24"/>
        </w:rPr>
        <w:t xml:space="preserve">decides to </w:t>
      </w:r>
      <w:r w:rsidR="00BF2AE6">
        <w:rPr>
          <w:rFonts w:eastAsia="Calibri"/>
          <w:i/>
          <w:color w:val="auto"/>
          <w:szCs w:val="24"/>
        </w:rPr>
        <w:t>maintain</w:t>
      </w:r>
      <w:r w:rsidR="00B237A0">
        <w:rPr>
          <w:rFonts w:eastAsia="Calibri"/>
          <w:i/>
          <w:color w:val="auto"/>
          <w:szCs w:val="24"/>
        </w:rPr>
        <w:t xml:space="preserve"> the five working day time frame,</w:t>
      </w:r>
      <w:r w:rsidRPr="003D5087">
        <w:rPr>
          <w:rFonts w:eastAsia="Calibri"/>
          <w:i/>
          <w:color w:val="auto"/>
          <w:szCs w:val="24"/>
        </w:rPr>
        <w:t xml:space="preserve"> the Institute recommends </w:t>
      </w:r>
      <w:r w:rsidR="00B237A0">
        <w:rPr>
          <w:rFonts w:eastAsia="Calibri"/>
          <w:i/>
          <w:color w:val="auto"/>
          <w:szCs w:val="24"/>
        </w:rPr>
        <w:t>correcting the typographical error as indicated</w:t>
      </w:r>
      <w:r w:rsidRPr="003D5087">
        <w:rPr>
          <w:rFonts w:eastAsia="Calibri"/>
          <w:i/>
          <w:color w:val="auto"/>
          <w:szCs w:val="24"/>
        </w:rPr>
        <w:t xml:space="preserve">.   </w:t>
      </w:r>
    </w:p>
    <w:p w:rsidR="003D5087" w:rsidRPr="003D5087" w:rsidRDefault="003D5087" w:rsidP="003D5087">
      <w:pPr>
        <w:rPr>
          <w:rFonts w:eastAsia="Calibri"/>
          <w:color w:val="auto"/>
          <w:szCs w:val="24"/>
          <w:u w:val="single"/>
        </w:rPr>
      </w:pPr>
    </w:p>
    <w:p w:rsidR="0029521E" w:rsidRPr="0029521E" w:rsidRDefault="0029521E" w:rsidP="0029521E">
      <w:pPr>
        <w:rPr>
          <w:rFonts w:eastAsia="Calibri"/>
          <w:b/>
          <w:color w:val="auto"/>
          <w:szCs w:val="24"/>
        </w:rPr>
      </w:pPr>
    </w:p>
    <w:p w:rsidR="0029521E" w:rsidRPr="0029521E" w:rsidRDefault="0029521E" w:rsidP="0029521E">
      <w:pPr>
        <w:rPr>
          <w:rFonts w:eastAsia="Calibri"/>
          <w:b/>
          <w:color w:val="auto"/>
          <w:szCs w:val="24"/>
        </w:rPr>
      </w:pPr>
      <w:r w:rsidRPr="0029521E">
        <w:rPr>
          <w:rFonts w:eastAsia="Calibri"/>
          <w:b/>
          <w:color w:val="auto"/>
          <w:szCs w:val="24"/>
        </w:rPr>
        <w:t>§ 9792.10.4.  Independent Medical Review –  Assignment and Notification</w:t>
      </w:r>
    </w:p>
    <w:p w:rsidR="0029521E" w:rsidRPr="0029521E" w:rsidRDefault="0029521E" w:rsidP="0029521E">
      <w:pPr>
        <w:rPr>
          <w:rFonts w:eastAsia="Calibri"/>
          <w:color w:val="auto"/>
          <w:szCs w:val="24"/>
        </w:rPr>
      </w:pPr>
    </w:p>
    <w:p w:rsidR="00BA1CFA" w:rsidRPr="006B7DCD" w:rsidRDefault="00BA1CFA" w:rsidP="00BA1CFA">
      <w:pPr>
        <w:rPr>
          <w:szCs w:val="24"/>
        </w:rPr>
      </w:pPr>
      <w:r w:rsidRPr="006B7DCD">
        <w:rPr>
          <w:b/>
          <w:szCs w:val="24"/>
        </w:rPr>
        <w:t xml:space="preserve">(b) </w:t>
      </w:r>
      <w:r w:rsidRPr="006B7DCD">
        <w:rPr>
          <w:szCs w:val="24"/>
        </w:rPr>
        <w:t>Within one business day following receipt of the Administrative Director’s finding</w:t>
      </w:r>
      <w:r w:rsidRPr="006B7DCD">
        <w:rPr>
          <w:b/>
          <w:szCs w:val="24"/>
        </w:rPr>
        <w:t xml:space="preserve"> </w:t>
      </w:r>
      <w:r w:rsidRPr="006B7DCD">
        <w:rPr>
          <w:szCs w:val="24"/>
        </w:rPr>
        <w:t>that the disputed medical treatment is eligible for independent medical review, the independent review organization delegated the responsibility by the Administrative Director to conduct independent medical review pursuant to Labor Code section 139.5 shall notify the employee,</w:t>
      </w:r>
      <w:r w:rsidR="00587440" w:rsidRPr="006B7DCD">
        <w:rPr>
          <w:szCs w:val="24"/>
        </w:rPr>
        <w:t xml:space="preserve"> </w:t>
      </w:r>
      <w:r w:rsidR="00587440" w:rsidRPr="006B7DCD">
        <w:rPr>
          <w:szCs w:val="24"/>
          <w:highlight w:val="yellow"/>
          <w:u w:val="single"/>
        </w:rPr>
        <w:t xml:space="preserve">the claims </w:t>
      </w:r>
      <w:r w:rsidR="00587440" w:rsidRPr="00EC5FA1">
        <w:rPr>
          <w:szCs w:val="24"/>
          <w:highlight w:val="yellow"/>
          <w:u w:val="single"/>
        </w:rPr>
        <w:t>administrator,</w:t>
      </w:r>
      <w:r w:rsidRPr="00EC5FA1">
        <w:rPr>
          <w:strike/>
          <w:szCs w:val="24"/>
          <w:highlight w:val="yellow"/>
        </w:rPr>
        <w:t xml:space="preserve"> if the employee is represented the employee’s attorney</w:t>
      </w:r>
      <w:r w:rsidRPr="006B7DCD">
        <w:rPr>
          <w:szCs w:val="24"/>
        </w:rPr>
        <w:t>, and the requesting physician in writing that the dispute has been assigned to that organization for review.  The notification shall contain:</w:t>
      </w:r>
    </w:p>
    <w:p w:rsidR="00BA1CFA" w:rsidRDefault="00BA1CFA" w:rsidP="00A3204E">
      <w:pPr>
        <w:ind w:left="720"/>
        <w:rPr>
          <w:rFonts w:eastAsia="Calibri"/>
          <w:i/>
          <w:color w:val="auto"/>
          <w:szCs w:val="24"/>
        </w:rPr>
      </w:pPr>
    </w:p>
    <w:p w:rsidR="00EA2924" w:rsidRDefault="00A3204E" w:rsidP="00A3204E">
      <w:pPr>
        <w:ind w:left="720"/>
        <w:rPr>
          <w:rFonts w:eastAsia="Calibri"/>
          <w:i/>
          <w:color w:val="auto"/>
          <w:szCs w:val="24"/>
        </w:rPr>
      </w:pPr>
      <w:r w:rsidRPr="00A3204E">
        <w:rPr>
          <w:rFonts w:eastAsia="Calibri"/>
          <w:i/>
          <w:color w:val="auto"/>
          <w:szCs w:val="24"/>
        </w:rPr>
        <w:t xml:space="preserve">The </w:t>
      </w:r>
      <w:r w:rsidR="00063B17">
        <w:rPr>
          <w:rFonts w:eastAsia="Calibri"/>
          <w:i/>
          <w:color w:val="auto"/>
          <w:szCs w:val="24"/>
        </w:rPr>
        <w:t xml:space="preserve">Institute </w:t>
      </w:r>
      <w:r w:rsidR="00BA1CFA">
        <w:rPr>
          <w:rFonts w:eastAsia="Calibri"/>
          <w:i/>
          <w:color w:val="auto"/>
          <w:szCs w:val="24"/>
        </w:rPr>
        <w:t xml:space="preserve">recommends correcting </w:t>
      </w:r>
      <w:r w:rsidR="00063B17">
        <w:rPr>
          <w:rFonts w:eastAsia="Calibri"/>
          <w:i/>
          <w:color w:val="auto"/>
          <w:szCs w:val="24"/>
        </w:rPr>
        <w:t>the</w:t>
      </w:r>
      <w:r w:rsidR="00BA1CFA">
        <w:rPr>
          <w:rFonts w:eastAsia="Calibri"/>
          <w:i/>
          <w:color w:val="auto"/>
          <w:szCs w:val="24"/>
        </w:rPr>
        <w:t xml:space="preserve"> inadvertent typographical </w:t>
      </w:r>
      <w:r w:rsidR="00063B17">
        <w:rPr>
          <w:rFonts w:eastAsia="Calibri"/>
          <w:i/>
          <w:color w:val="auto"/>
          <w:szCs w:val="24"/>
        </w:rPr>
        <w:t>omission of</w:t>
      </w:r>
      <w:r w:rsidR="00BA1CFA">
        <w:rPr>
          <w:rFonts w:eastAsia="Calibri"/>
          <w:i/>
          <w:color w:val="auto"/>
          <w:szCs w:val="24"/>
        </w:rPr>
        <w:t xml:space="preserve"> “claims administrator</w:t>
      </w:r>
      <w:r w:rsidR="00587440">
        <w:rPr>
          <w:rFonts w:eastAsia="Calibri"/>
          <w:i/>
          <w:color w:val="auto"/>
          <w:szCs w:val="24"/>
        </w:rPr>
        <w:t>”</w:t>
      </w:r>
      <w:r w:rsidR="00BA1CFA">
        <w:rPr>
          <w:rFonts w:eastAsia="Calibri"/>
          <w:i/>
          <w:color w:val="auto"/>
          <w:szCs w:val="24"/>
        </w:rPr>
        <w:t xml:space="preserve"> </w:t>
      </w:r>
      <w:r w:rsidR="004D4E01">
        <w:rPr>
          <w:rFonts w:eastAsia="Calibri"/>
          <w:i/>
          <w:color w:val="auto"/>
          <w:szCs w:val="24"/>
        </w:rPr>
        <w:t xml:space="preserve">by adding it </w:t>
      </w:r>
      <w:r w:rsidR="00235BAF">
        <w:rPr>
          <w:rFonts w:eastAsia="Calibri"/>
          <w:i/>
          <w:color w:val="auto"/>
          <w:szCs w:val="24"/>
        </w:rPr>
        <w:t>as indicated</w:t>
      </w:r>
      <w:r w:rsidR="00BA1CFA">
        <w:rPr>
          <w:rFonts w:eastAsia="Calibri"/>
          <w:i/>
          <w:color w:val="auto"/>
          <w:szCs w:val="24"/>
        </w:rPr>
        <w:t>, or by restoring “parties.”</w:t>
      </w:r>
      <w:r w:rsidR="00063B17">
        <w:rPr>
          <w:rFonts w:eastAsia="Calibri"/>
          <w:i/>
          <w:color w:val="auto"/>
          <w:szCs w:val="24"/>
        </w:rPr>
        <w:t xml:space="preserve"> </w:t>
      </w:r>
    </w:p>
    <w:p w:rsidR="00EA2924" w:rsidRDefault="00EA2924" w:rsidP="00A3204E">
      <w:pPr>
        <w:ind w:left="720"/>
        <w:rPr>
          <w:rFonts w:eastAsia="Calibri"/>
          <w:i/>
          <w:color w:val="auto"/>
          <w:szCs w:val="24"/>
        </w:rPr>
      </w:pPr>
    </w:p>
    <w:p w:rsidR="00FD0923" w:rsidRDefault="00235BAF" w:rsidP="006B7DCD">
      <w:pPr>
        <w:ind w:left="720"/>
        <w:rPr>
          <w:rFonts w:eastAsia="Calibri"/>
          <w:i/>
          <w:color w:val="auto"/>
          <w:szCs w:val="24"/>
        </w:rPr>
      </w:pPr>
      <w:r>
        <w:rPr>
          <w:rFonts w:eastAsia="Calibri"/>
          <w:i/>
          <w:color w:val="auto"/>
          <w:szCs w:val="24"/>
        </w:rPr>
        <w:t>The Institute</w:t>
      </w:r>
      <w:r w:rsidR="00063B17">
        <w:rPr>
          <w:rFonts w:eastAsia="Calibri"/>
          <w:i/>
          <w:color w:val="auto"/>
          <w:szCs w:val="24"/>
        </w:rPr>
        <w:t xml:space="preserve"> also recommends deleting the represented employee’s</w:t>
      </w:r>
      <w:r w:rsidR="00EA2924">
        <w:rPr>
          <w:rFonts w:eastAsia="Calibri"/>
          <w:i/>
          <w:color w:val="auto"/>
          <w:szCs w:val="24"/>
        </w:rPr>
        <w:t xml:space="preserve"> attorney from those that must receive the notice as the statute d</w:t>
      </w:r>
      <w:r w:rsidR="004F40EA">
        <w:rPr>
          <w:rFonts w:eastAsia="Calibri"/>
          <w:i/>
          <w:color w:val="auto"/>
          <w:szCs w:val="24"/>
        </w:rPr>
        <w:t>id</w:t>
      </w:r>
      <w:r w:rsidR="00EA2924">
        <w:rPr>
          <w:rFonts w:eastAsia="Calibri"/>
          <w:i/>
          <w:color w:val="auto"/>
          <w:szCs w:val="24"/>
        </w:rPr>
        <w:t xml:space="preserve"> not provide authority for the Adminis</w:t>
      </w:r>
      <w:r w:rsidR="000C5DC8">
        <w:rPr>
          <w:rFonts w:eastAsia="Calibri"/>
          <w:i/>
          <w:color w:val="auto"/>
          <w:szCs w:val="24"/>
        </w:rPr>
        <w:t xml:space="preserve">trative Director to require </w:t>
      </w:r>
      <w:r w:rsidR="00EA2924">
        <w:rPr>
          <w:rFonts w:eastAsia="Calibri"/>
          <w:i/>
          <w:color w:val="auto"/>
          <w:szCs w:val="24"/>
        </w:rPr>
        <w:t>such notice regarding IMR</w:t>
      </w:r>
      <w:r w:rsidR="000C5DC8">
        <w:rPr>
          <w:rFonts w:eastAsia="Calibri"/>
          <w:i/>
          <w:color w:val="auto"/>
          <w:szCs w:val="24"/>
        </w:rPr>
        <w:t>.</w:t>
      </w:r>
      <w:r w:rsidR="00883FA9">
        <w:rPr>
          <w:rFonts w:eastAsia="Calibri"/>
          <w:i/>
          <w:color w:val="auto"/>
          <w:szCs w:val="24"/>
        </w:rPr>
        <w:t xml:space="preserve">  Labor Code section 4610</w:t>
      </w:r>
      <w:r w:rsidR="00AB48A1">
        <w:rPr>
          <w:rFonts w:eastAsia="Calibri"/>
          <w:i/>
          <w:color w:val="auto"/>
          <w:szCs w:val="24"/>
        </w:rPr>
        <w:t>.5</w:t>
      </w:r>
      <w:r w:rsidR="00883FA9">
        <w:rPr>
          <w:rFonts w:eastAsia="Calibri"/>
          <w:i/>
          <w:color w:val="auto"/>
          <w:szCs w:val="24"/>
        </w:rPr>
        <w:t xml:space="preserve">(k) requires the </w:t>
      </w:r>
      <w:r w:rsidR="004F40EA">
        <w:rPr>
          <w:rFonts w:eastAsia="Calibri"/>
          <w:i/>
          <w:color w:val="auto"/>
          <w:szCs w:val="24"/>
        </w:rPr>
        <w:t>A</w:t>
      </w:r>
      <w:r w:rsidR="00883FA9">
        <w:rPr>
          <w:rFonts w:eastAsia="Calibri"/>
          <w:i/>
          <w:color w:val="auto"/>
          <w:szCs w:val="24"/>
        </w:rPr>
        <w:t xml:space="preserve">dministrative </w:t>
      </w:r>
      <w:r w:rsidR="004F40EA">
        <w:rPr>
          <w:rFonts w:eastAsia="Calibri"/>
          <w:i/>
          <w:color w:val="auto"/>
          <w:szCs w:val="24"/>
        </w:rPr>
        <w:t>D</w:t>
      </w:r>
      <w:r w:rsidR="00883FA9">
        <w:rPr>
          <w:rFonts w:eastAsia="Calibri"/>
          <w:i/>
          <w:color w:val="auto"/>
          <w:szCs w:val="24"/>
        </w:rPr>
        <w:t xml:space="preserve">irector or his or her designee </w:t>
      </w:r>
      <w:r w:rsidR="004F40EA">
        <w:rPr>
          <w:rFonts w:eastAsia="Calibri"/>
          <w:i/>
          <w:color w:val="auto"/>
          <w:szCs w:val="24"/>
        </w:rPr>
        <w:t xml:space="preserve">to </w:t>
      </w:r>
      <w:r w:rsidR="00883FA9">
        <w:rPr>
          <w:rFonts w:eastAsia="Calibri"/>
          <w:i/>
          <w:color w:val="auto"/>
          <w:szCs w:val="24"/>
        </w:rPr>
        <w:t xml:space="preserve">notify the </w:t>
      </w:r>
      <w:r w:rsidR="00883FA9" w:rsidRPr="004F40EA">
        <w:rPr>
          <w:rFonts w:eastAsia="Calibri"/>
          <w:b/>
          <w:i/>
          <w:color w:val="auto"/>
          <w:szCs w:val="24"/>
        </w:rPr>
        <w:t>employee and the employer</w:t>
      </w:r>
      <w:r w:rsidR="004F40EA">
        <w:rPr>
          <w:rFonts w:eastAsia="Calibri"/>
          <w:i/>
          <w:color w:val="auto"/>
          <w:szCs w:val="24"/>
        </w:rPr>
        <w:t xml:space="preserve"> in writing as to whether the request for independent medical review has been approved</w:t>
      </w:r>
      <w:r w:rsidR="006B7DCD" w:rsidRPr="00235BAF">
        <w:rPr>
          <w:rFonts w:eastAsia="Calibri"/>
          <w:i/>
          <w:color w:val="auto"/>
          <w:szCs w:val="24"/>
        </w:rPr>
        <w:t xml:space="preserve">.  </w:t>
      </w:r>
      <w:r w:rsidR="004F40EA" w:rsidRPr="00235BAF">
        <w:rPr>
          <w:rFonts w:eastAsia="Calibri"/>
          <w:i/>
          <w:color w:val="auto"/>
          <w:szCs w:val="24"/>
        </w:rPr>
        <w:t xml:space="preserve"> </w:t>
      </w:r>
    </w:p>
    <w:p w:rsidR="00FD0923" w:rsidRDefault="00FD0923" w:rsidP="006B7DCD">
      <w:pPr>
        <w:ind w:left="720"/>
        <w:rPr>
          <w:rFonts w:eastAsia="Calibri"/>
          <w:i/>
          <w:color w:val="auto"/>
          <w:szCs w:val="24"/>
        </w:rPr>
      </w:pPr>
    </w:p>
    <w:p w:rsidR="006B7DCD" w:rsidRDefault="006B7DCD" w:rsidP="006B7DCD">
      <w:pPr>
        <w:ind w:left="720"/>
        <w:rPr>
          <w:rFonts w:eastAsia="Calibri"/>
          <w:color w:val="auto"/>
          <w:szCs w:val="24"/>
        </w:rPr>
      </w:pPr>
      <w:r w:rsidRPr="00235BAF">
        <w:rPr>
          <w:i/>
          <w:szCs w:val="24"/>
        </w:rPr>
        <w:t>See comments on section 9792.10.1(b)(2)(A) for more detail.</w:t>
      </w:r>
    </w:p>
    <w:p w:rsidR="00A3204E" w:rsidRPr="00A3204E" w:rsidRDefault="00A3204E" w:rsidP="00A3204E">
      <w:pPr>
        <w:rPr>
          <w:rFonts w:eastAsia="Calibri"/>
          <w:color w:val="auto"/>
          <w:szCs w:val="24"/>
          <w:u w:val="single"/>
        </w:rPr>
      </w:pPr>
    </w:p>
    <w:p w:rsidR="0029521E" w:rsidRPr="0029521E" w:rsidRDefault="0029521E" w:rsidP="0029521E">
      <w:pPr>
        <w:rPr>
          <w:szCs w:val="24"/>
        </w:rPr>
      </w:pPr>
      <w:r w:rsidRPr="0029521E">
        <w:rPr>
          <w:szCs w:val="24"/>
        </w:rPr>
        <w:t xml:space="preserve"> </w:t>
      </w:r>
    </w:p>
    <w:p w:rsidR="0029521E" w:rsidRPr="0029521E" w:rsidRDefault="0029521E" w:rsidP="0029521E">
      <w:pPr>
        <w:rPr>
          <w:rFonts w:eastAsia="Calibri"/>
          <w:b/>
          <w:color w:val="auto"/>
          <w:szCs w:val="24"/>
        </w:rPr>
      </w:pPr>
      <w:r w:rsidRPr="0029521E">
        <w:rPr>
          <w:rFonts w:eastAsia="Calibri"/>
          <w:b/>
          <w:color w:val="auto"/>
          <w:szCs w:val="24"/>
        </w:rPr>
        <w:lastRenderedPageBreak/>
        <w:t xml:space="preserve">§ 9792.10.5.  Independent Medical Review – Medical Records  </w:t>
      </w:r>
    </w:p>
    <w:p w:rsidR="0029521E" w:rsidRPr="0029521E" w:rsidRDefault="0029521E" w:rsidP="0029521E">
      <w:pPr>
        <w:rPr>
          <w:rFonts w:eastAsia="Calibri"/>
          <w:color w:val="auto"/>
          <w:szCs w:val="24"/>
        </w:rPr>
      </w:pPr>
    </w:p>
    <w:p w:rsidR="00992800" w:rsidRPr="00326853" w:rsidRDefault="00992800" w:rsidP="00992800">
      <w:pPr>
        <w:rPr>
          <w:szCs w:val="24"/>
        </w:rPr>
      </w:pPr>
      <w:r w:rsidRPr="00326853">
        <w:rPr>
          <w:szCs w:val="24"/>
        </w:rPr>
        <w:t xml:space="preserve">(b)(1) Within fifteen (15) days following the mailing of the notification from the independent review organization that the disputed medical treatment has been assigned for independent medical review, or within twelve (12) days if the notification was sent electronically, or for expedited review, within twenty-four (24) hours following receipt of the notification, the independent medical review organization shall receive from the employee, </w:t>
      </w:r>
      <w:r w:rsidRPr="00326853">
        <w:rPr>
          <w:strike/>
          <w:szCs w:val="24"/>
          <w:highlight w:val="yellow"/>
        </w:rPr>
        <w:t>if represented the employee’s attorney,</w:t>
      </w:r>
      <w:r w:rsidRPr="00326853">
        <w:rPr>
          <w:szCs w:val="24"/>
        </w:rPr>
        <w:t xml:space="preserve"> or any party identified in section 9792.10.1(b)(2), any of the following documents:</w:t>
      </w:r>
    </w:p>
    <w:p w:rsidR="00E7602B" w:rsidRPr="00E7602B" w:rsidRDefault="00E7602B" w:rsidP="00E7602B">
      <w:pPr>
        <w:rPr>
          <w:szCs w:val="24"/>
        </w:rPr>
      </w:pPr>
      <w:r>
        <w:rPr>
          <w:szCs w:val="24"/>
        </w:rPr>
        <w:t>….</w:t>
      </w:r>
    </w:p>
    <w:p w:rsidR="00E7602B" w:rsidRPr="00E7602B" w:rsidRDefault="00E7602B" w:rsidP="00E7602B">
      <w:pPr>
        <w:rPr>
          <w:szCs w:val="24"/>
        </w:rPr>
      </w:pPr>
      <w:r w:rsidRPr="00E7602B">
        <w:rPr>
          <w:szCs w:val="24"/>
        </w:rPr>
        <w:t xml:space="preserve">(2) The employee, </w:t>
      </w:r>
      <w:r w:rsidRPr="00E7602B">
        <w:rPr>
          <w:strike/>
          <w:szCs w:val="24"/>
          <w:highlight w:val="yellow"/>
        </w:rPr>
        <w:t>if represented the employee’s attorney,</w:t>
      </w:r>
      <w:r w:rsidRPr="00E7602B">
        <w:rPr>
          <w:szCs w:val="24"/>
        </w:rPr>
        <w:t xml:space="preserve"> or any party identified in section 9792.10.1(b)(2) shall, concurrent with the provision of documents under subdivision (b), forward the documents provided under subdivision (b) on the claims administrator, except that documents previously provided to the claims administrator need not be provided again if a list of those documents is served. </w:t>
      </w:r>
    </w:p>
    <w:p w:rsidR="00E7602B" w:rsidRPr="00E7602B" w:rsidRDefault="00E7602B" w:rsidP="00E7602B">
      <w:pPr>
        <w:rPr>
          <w:szCs w:val="24"/>
        </w:rPr>
      </w:pPr>
    </w:p>
    <w:p w:rsidR="00E7602B" w:rsidRPr="00E7602B" w:rsidRDefault="00E7602B" w:rsidP="00E7602B">
      <w:pPr>
        <w:rPr>
          <w:szCs w:val="24"/>
        </w:rPr>
      </w:pPr>
      <w:r w:rsidRPr="00E7602B">
        <w:rPr>
          <w:szCs w:val="24"/>
        </w:rPr>
        <w:t xml:space="preserve">(3) Any newly developed or discovered relevant medical records in the possession of the employee, </w:t>
      </w:r>
      <w:r w:rsidRPr="00187884">
        <w:rPr>
          <w:strike/>
          <w:szCs w:val="24"/>
          <w:highlight w:val="yellow"/>
        </w:rPr>
        <w:t>if represented the employee’s attorney,</w:t>
      </w:r>
      <w:r w:rsidRPr="00E7602B">
        <w:rPr>
          <w:szCs w:val="24"/>
        </w:rPr>
        <w:t xml:space="preserve"> or any party identified in section 9792.10.1(b)(2), after the documents identified in subdivision (b) are provided to the independent review organization shall be forwarded immediately to the independent review organization. The employee, </w:t>
      </w:r>
      <w:r w:rsidRPr="00187884">
        <w:rPr>
          <w:strike/>
          <w:szCs w:val="24"/>
          <w:highlight w:val="yellow"/>
        </w:rPr>
        <w:t>if represented the employee’s attorney,</w:t>
      </w:r>
      <w:r w:rsidRPr="00E7602B">
        <w:rPr>
          <w:szCs w:val="24"/>
        </w:rPr>
        <w:t xml:space="preserve"> or any party identified in section 9792.10.1(b)(2), shall concurrently provide a copy of medical records required by this subdivision to the claims administrator, unless the offer of medical records is declined or otherwise prohibited by law. </w:t>
      </w:r>
    </w:p>
    <w:p w:rsidR="00E45FFB" w:rsidRPr="00E45FFB" w:rsidRDefault="00E45FFB" w:rsidP="00E45FFB">
      <w:pPr>
        <w:rPr>
          <w:rFonts w:eastAsia="Calibri"/>
          <w:strike/>
          <w:color w:val="auto"/>
          <w:szCs w:val="24"/>
        </w:rPr>
      </w:pPr>
    </w:p>
    <w:p w:rsidR="001875F7" w:rsidRPr="007C67FF" w:rsidRDefault="00CA71B7" w:rsidP="001875F7">
      <w:pPr>
        <w:ind w:left="720"/>
        <w:rPr>
          <w:i/>
          <w:szCs w:val="24"/>
        </w:rPr>
      </w:pPr>
      <w:r>
        <w:rPr>
          <w:i/>
          <w:szCs w:val="24"/>
        </w:rPr>
        <w:t xml:space="preserve">As also noted in </w:t>
      </w:r>
      <w:r w:rsidRPr="00235BAF">
        <w:rPr>
          <w:i/>
          <w:szCs w:val="24"/>
        </w:rPr>
        <w:t>comments on section 9792.10.1(b)(2)(A)</w:t>
      </w:r>
      <w:r>
        <w:rPr>
          <w:i/>
          <w:szCs w:val="24"/>
        </w:rPr>
        <w:t>, a</w:t>
      </w:r>
      <w:r w:rsidR="001875F7" w:rsidRPr="007C67FF">
        <w:rPr>
          <w:i/>
          <w:szCs w:val="24"/>
        </w:rPr>
        <w:t xml:space="preserve">pplicant attorneys are nowhere included in the Labor Code section 4610.5 language and have no role in the </w:t>
      </w:r>
      <w:r>
        <w:rPr>
          <w:i/>
          <w:szCs w:val="24"/>
        </w:rPr>
        <w:t xml:space="preserve">IMR </w:t>
      </w:r>
      <w:r w:rsidR="001875F7" w:rsidRPr="007C67FF">
        <w:rPr>
          <w:i/>
          <w:szCs w:val="24"/>
        </w:rPr>
        <w:t xml:space="preserve">process unless and until an IMR decision is challenged when a verified appeal may be filed with the appeals board.  According to Labor Code section 4610.5(j) “A designation of an agent executed prior to the utilization review decision shall not be valid.”  The applicant attorney is not a valid designee if the designation of representation was executed prior to the utilization review decision. The Institute believes that when the Legislature moved the authority to resolve utilization review disputes from the Board to an independent review organization, it removed applicant attorneys from the IMR process.  </w:t>
      </w:r>
    </w:p>
    <w:p w:rsidR="001875F7" w:rsidRPr="007C67FF" w:rsidRDefault="001875F7" w:rsidP="001875F7">
      <w:pPr>
        <w:ind w:left="720"/>
        <w:rPr>
          <w:i/>
          <w:szCs w:val="24"/>
        </w:rPr>
      </w:pPr>
    </w:p>
    <w:p w:rsidR="001875F7" w:rsidRPr="007C67FF" w:rsidRDefault="001875F7" w:rsidP="001875F7">
      <w:pPr>
        <w:ind w:left="720"/>
        <w:rPr>
          <w:i/>
          <w:szCs w:val="24"/>
        </w:rPr>
      </w:pPr>
      <w:r w:rsidRPr="007C67FF">
        <w:rPr>
          <w:i/>
          <w:szCs w:val="24"/>
        </w:rPr>
        <w:t>Labor Code section 4610.5(j) states</w:t>
      </w:r>
      <w:r w:rsidR="00CA71B7">
        <w:rPr>
          <w:i/>
          <w:szCs w:val="24"/>
        </w:rPr>
        <w:t>:</w:t>
      </w:r>
      <w:r w:rsidRPr="007C67FF">
        <w:rPr>
          <w:i/>
          <w:szCs w:val="24"/>
        </w:rPr>
        <w:t xml:space="preserve"> </w:t>
      </w:r>
    </w:p>
    <w:p w:rsidR="001875F7" w:rsidRPr="007C67FF" w:rsidRDefault="001875F7" w:rsidP="001875F7">
      <w:pPr>
        <w:ind w:left="1440"/>
        <w:rPr>
          <w:i/>
          <w:szCs w:val="24"/>
        </w:rPr>
      </w:pPr>
      <w:r w:rsidRPr="007C67FF">
        <w:rPr>
          <w:i/>
          <w:szCs w:val="24"/>
        </w:rPr>
        <w:t xml:space="preserve">“For purposes of this section, an employee may designate a parent, guardian, conservator, relative, or other designee of the employee to act on his or her behalf.  A designation of an agent executed prior to the utilization review decision shall not be valid. …”  </w:t>
      </w:r>
    </w:p>
    <w:p w:rsidR="001875F7" w:rsidRPr="007C67FF" w:rsidRDefault="001875F7" w:rsidP="001875F7">
      <w:pPr>
        <w:ind w:left="720"/>
        <w:rPr>
          <w:i/>
          <w:szCs w:val="24"/>
        </w:rPr>
      </w:pPr>
      <w:r w:rsidRPr="007C67FF">
        <w:rPr>
          <w:i/>
          <w:szCs w:val="24"/>
        </w:rPr>
        <w:t xml:space="preserve">If the employee is represented by an attorney </w:t>
      </w:r>
      <w:r w:rsidR="00B22D11">
        <w:rPr>
          <w:i/>
          <w:szCs w:val="24"/>
        </w:rPr>
        <w:t>prior to</w:t>
      </w:r>
      <w:r w:rsidRPr="007C67FF">
        <w:rPr>
          <w:i/>
          <w:szCs w:val="24"/>
        </w:rPr>
        <w:t xml:space="preserve"> the time of a UR decision, that language </w:t>
      </w:r>
      <w:r w:rsidR="00C44F18">
        <w:rPr>
          <w:i/>
          <w:szCs w:val="24"/>
        </w:rPr>
        <w:t>indicates</w:t>
      </w:r>
      <w:r w:rsidRPr="007C67FF">
        <w:rPr>
          <w:i/>
          <w:szCs w:val="24"/>
        </w:rPr>
        <w:t xml:space="preserve"> the applicant’s attorney is not eligible to act on behalf of the employee for purposes IMR.  Since the legislature moved the responsibility for deciding medically necessary treatment from the Board to the IMRO, there is no longer necessity for an attorney to argue on the medical necessity for treatment unless there is an appeal.  </w:t>
      </w:r>
    </w:p>
    <w:p w:rsidR="0029521E" w:rsidRDefault="0029521E" w:rsidP="0029521E">
      <w:pPr>
        <w:rPr>
          <w:rFonts w:eastAsia="Calibri"/>
          <w:b/>
          <w:color w:val="auto"/>
          <w:szCs w:val="24"/>
        </w:rPr>
      </w:pPr>
    </w:p>
    <w:p w:rsidR="0029521E" w:rsidRPr="0029521E" w:rsidRDefault="0029521E" w:rsidP="0029521E">
      <w:pPr>
        <w:rPr>
          <w:rFonts w:eastAsia="Calibri"/>
          <w:b/>
          <w:color w:val="auto"/>
          <w:szCs w:val="24"/>
        </w:rPr>
      </w:pPr>
      <w:r w:rsidRPr="0029521E">
        <w:rPr>
          <w:rFonts w:eastAsia="Calibri"/>
          <w:b/>
          <w:color w:val="auto"/>
          <w:szCs w:val="24"/>
        </w:rPr>
        <w:t>§ 9792.10.6.  Independent Medical Review – Standards and Timeframes</w:t>
      </w:r>
    </w:p>
    <w:p w:rsidR="0029521E" w:rsidRPr="0029521E" w:rsidRDefault="0029521E" w:rsidP="0029521E">
      <w:pPr>
        <w:rPr>
          <w:rFonts w:eastAsia="Calibri"/>
          <w:color w:val="auto"/>
          <w:szCs w:val="24"/>
        </w:rPr>
      </w:pPr>
    </w:p>
    <w:p w:rsidR="0029521E" w:rsidRPr="0029521E" w:rsidRDefault="00317BA4" w:rsidP="0029521E">
      <w:pPr>
        <w:rPr>
          <w:rFonts w:eastAsia="Calibri"/>
          <w:color w:val="auto"/>
          <w:szCs w:val="24"/>
        </w:rPr>
      </w:pPr>
      <w:r w:rsidRPr="00317BA4">
        <w:rPr>
          <w:rFonts w:eastAsia="Calibri"/>
          <w:color w:val="auto"/>
          <w:szCs w:val="24"/>
        </w:rPr>
        <w:t xml:space="preserve">(e) The independent review organization shall provide the Administrative Director, the claims administrator, the employee, </w:t>
      </w:r>
      <w:r w:rsidRPr="00317BA4">
        <w:rPr>
          <w:rFonts w:eastAsia="Calibri"/>
          <w:strike/>
          <w:color w:val="auto"/>
          <w:szCs w:val="24"/>
          <w:highlight w:val="yellow"/>
        </w:rPr>
        <w:t>if represented the employee’s attorney,</w:t>
      </w:r>
      <w:r w:rsidRPr="00317BA4">
        <w:rPr>
          <w:rFonts w:eastAsia="Calibri"/>
          <w:color w:val="auto"/>
          <w:szCs w:val="24"/>
        </w:rPr>
        <w:t xml:space="preserve"> and the employee’s provider with a final determination regarding the medical necessity of the disputed medical treatment. With the final determination, the independent review organization shall provide a description of the qualifications of the medical reviewer or reviewers and the determination issued by the medical reviewer.    </w:t>
      </w:r>
    </w:p>
    <w:p w:rsidR="00317BA4" w:rsidRDefault="00317BA4" w:rsidP="0029521E">
      <w:pPr>
        <w:ind w:left="720"/>
        <w:rPr>
          <w:rFonts w:eastAsia="Calibri"/>
          <w:i/>
          <w:color w:val="auto"/>
          <w:szCs w:val="24"/>
        </w:rPr>
      </w:pPr>
    </w:p>
    <w:p w:rsidR="005B28B3" w:rsidRDefault="005B28B3" w:rsidP="005B28B3">
      <w:pPr>
        <w:ind w:left="720"/>
        <w:rPr>
          <w:rFonts w:eastAsia="Calibri"/>
          <w:color w:val="auto"/>
          <w:szCs w:val="24"/>
        </w:rPr>
      </w:pPr>
      <w:r>
        <w:rPr>
          <w:rFonts w:eastAsia="Calibri"/>
          <w:i/>
          <w:color w:val="auto"/>
          <w:szCs w:val="24"/>
        </w:rPr>
        <w:t>The Institute recommends deleting the represented employee’s attorney from those that must receive the final determination as the statute did not provide authority for the Administrative Director to require such notice regarding IMR.  Labor Code section 4610</w:t>
      </w:r>
      <w:r w:rsidR="009207FA">
        <w:rPr>
          <w:rFonts w:eastAsia="Calibri"/>
          <w:i/>
          <w:color w:val="auto"/>
          <w:szCs w:val="24"/>
        </w:rPr>
        <w:t>.6</w:t>
      </w:r>
      <w:r>
        <w:rPr>
          <w:rFonts w:eastAsia="Calibri"/>
          <w:i/>
          <w:color w:val="auto"/>
          <w:szCs w:val="24"/>
        </w:rPr>
        <w:t>(</w:t>
      </w:r>
      <w:r w:rsidR="009207FA">
        <w:rPr>
          <w:rFonts w:eastAsia="Calibri"/>
          <w:i/>
          <w:color w:val="auto"/>
          <w:szCs w:val="24"/>
        </w:rPr>
        <w:t>f</w:t>
      </w:r>
      <w:r>
        <w:rPr>
          <w:rFonts w:eastAsia="Calibri"/>
          <w:i/>
          <w:color w:val="auto"/>
          <w:szCs w:val="24"/>
        </w:rPr>
        <w:t xml:space="preserve">) requires the </w:t>
      </w:r>
      <w:r w:rsidR="009207FA">
        <w:rPr>
          <w:rFonts w:eastAsia="Calibri"/>
          <w:i/>
          <w:color w:val="auto"/>
          <w:szCs w:val="24"/>
        </w:rPr>
        <w:t xml:space="preserve">independent review organization </w:t>
      </w:r>
      <w:r>
        <w:rPr>
          <w:rFonts w:eastAsia="Calibri"/>
          <w:i/>
          <w:color w:val="auto"/>
          <w:szCs w:val="24"/>
        </w:rPr>
        <w:t xml:space="preserve">to </w:t>
      </w:r>
      <w:r w:rsidR="001C5BED">
        <w:rPr>
          <w:rFonts w:eastAsia="Calibri"/>
          <w:i/>
          <w:color w:val="auto"/>
          <w:szCs w:val="24"/>
        </w:rPr>
        <w:t>provide</w:t>
      </w:r>
      <w:r>
        <w:rPr>
          <w:rFonts w:eastAsia="Calibri"/>
          <w:i/>
          <w:color w:val="auto"/>
          <w:szCs w:val="24"/>
        </w:rPr>
        <w:t xml:space="preserve"> </w:t>
      </w:r>
      <w:r w:rsidRPr="001C5BED">
        <w:rPr>
          <w:rFonts w:eastAsia="Calibri"/>
          <w:b/>
          <w:i/>
          <w:color w:val="auto"/>
          <w:szCs w:val="24"/>
        </w:rPr>
        <w:t xml:space="preserve">the </w:t>
      </w:r>
      <w:r w:rsidR="001C5BED" w:rsidRPr="001C5BED">
        <w:rPr>
          <w:rFonts w:eastAsia="Calibri"/>
          <w:b/>
          <w:i/>
          <w:color w:val="auto"/>
          <w:szCs w:val="24"/>
        </w:rPr>
        <w:t xml:space="preserve">administrative director, the employer, the </w:t>
      </w:r>
      <w:r w:rsidRPr="001C5BED">
        <w:rPr>
          <w:rFonts w:eastAsia="Calibri"/>
          <w:b/>
          <w:i/>
          <w:color w:val="auto"/>
          <w:szCs w:val="24"/>
        </w:rPr>
        <w:t>employee</w:t>
      </w:r>
      <w:r w:rsidRPr="004F40EA">
        <w:rPr>
          <w:rFonts w:eastAsia="Calibri"/>
          <w:b/>
          <w:i/>
          <w:color w:val="auto"/>
          <w:szCs w:val="24"/>
        </w:rPr>
        <w:t xml:space="preserve"> and the employer</w:t>
      </w:r>
      <w:r w:rsidR="001C5BED">
        <w:rPr>
          <w:rFonts w:eastAsia="Calibri"/>
          <w:b/>
          <w:i/>
          <w:color w:val="auto"/>
          <w:szCs w:val="24"/>
        </w:rPr>
        <w:t>’s provider</w:t>
      </w:r>
      <w:r>
        <w:rPr>
          <w:rFonts w:eastAsia="Calibri"/>
          <w:i/>
          <w:color w:val="auto"/>
          <w:szCs w:val="24"/>
        </w:rPr>
        <w:t xml:space="preserve"> </w:t>
      </w:r>
      <w:r w:rsidR="001C5BED">
        <w:rPr>
          <w:rFonts w:eastAsia="Calibri"/>
          <w:i/>
          <w:color w:val="auto"/>
          <w:szCs w:val="24"/>
        </w:rPr>
        <w:t>with the final determinations.</w:t>
      </w:r>
      <w:r>
        <w:rPr>
          <w:rFonts w:eastAsia="Calibri"/>
          <w:i/>
          <w:color w:val="auto"/>
          <w:szCs w:val="24"/>
        </w:rPr>
        <w:t xml:space="preserve"> </w:t>
      </w:r>
      <w:r w:rsidR="00655A9C">
        <w:rPr>
          <w:rFonts w:eastAsia="Calibri"/>
          <w:i/>
          <w:color w:val="auto"/>
          <w:szCs w:val="24"/>
        </w:rPr>
        <w:t>F</w:t>
      </w:r>
      <w:r w:rsidR="00655A9C" w:rsidRPr="00235BAF">
        <w:rPr>
          <w:i/>
          <w:szCs w:val="24"/>
        </w:rPr>
        <w:t xml:space="preserve">or </w:t>
      </w:r>
      <w:r w:rsidR="00655A9C">
        <w:rPr>
          <w:i/>
          <w:szCs w:val="24"/>
        </w:rPr>
        <w:t>a more complete discussion</w:t>
      </w:r>
      <w:r w:rsidR="00655A9C" w:rsidRPr="00235BAF">
        <w:rPr>
          <w:i/>
          <w:szCs w:val="24"/>
        </w:rPr>
        <w:t xml:space="preserve"> </w:t>
      </w:r>
      <w:r w:rsidR="00655A9C">
        <w:rPr>
          <w:i/>
          <w:szCs w:val="24"/>
        </w:rPr>
        <w:t>s</w:t>
      </w:r>
      <w:r w:rsidRPr="00235BAF">
        <w:rPr>
          <w:i/>
          <w:szCs w:val="24"/>
        </w:rPr>
        <w:t>ee comments on section 9792.10.1(b)(2)(A).</w:t>
      </w:r>
    </w:p>
    <w:p w:rsidR="00562A5A" w:rsidRDefault="00562A5A" w:rsidP="00577821">
      <w:pPr>
        <w:rPr>
          <w:rFonts w:ascii="Arial" w:hAnsi="Arial" w:cs="Arial"/>
          <w:sz w:val="22"/>
          <w:szCs w:val="22"/>
        </w:rPr>
      </w:pPr>
    </w:p>
    <w:p w:rsidR="00D26E87" w:rsidRDefault="00D26E87" w:rsidP="001F37BA">
      <w:pPr>
        <w:ind w:left="720"/>
        <w:rPr>
          <w:rFonts w:cstheme="minorHAnsi"/>
          <w:i/>
        </w:rPr>
      </w:pPr>
    </w:p>
    <w:p w:rsidR="008D0B04" w:rsidRDefault="008D0B04" w:rsidP="00D26E87">
      <w:pPr>
        <w:rPr>
          <w:rFonts w:cstheme="minorHAnsi"/>
          <w:b/>
          <w:u w:val="single"/>
        </w:rPr>
      </w:pPr>
      <w:r w:rsidRPr="00721205">
        <w:rPr>
          <w:rFonts w:cstheme="minorHAnsi"/>
          <w:b/>
          <w:u w:val="single"/>
        </w:rPr>
        <w:t>§ 9792.12.  Administrative Penalty Schedule for Utilization Review and Independent Medical Review Violations</w:t>
      </w:r>
    </w:p>
    <w:p w:rsidR="008D0B04" w:rsidRPr="00721205" w:rsidRDefault="008D0B04" w:rsidP="00D26E87">
      <w:pPr>
        <w:rPr>
          <w:rFonts w:cstheme="minorHAnsi"/>
          <w:u w:val="single"/>
        </w:rPr>
      </w:pPr>
    </w:p>
    <w:p w:rsidR="000068C8" w:rsidRPr="000068C8" w:rsidRDefault="000068C8" w:rsidP="000068C8">
      <w:pPr>
        <w:rPr>
          <w:rFonts w:cstheme="minorHAnsi"/>
        </w:rPr>
      </w:pPr>
      <w:r w:rsidRPr="000068C8">
        <w:rPr>
          <w:rFonts w:cstheme="minorHAnsi"/>
        </w:rPr>
        <w:t>The provision of medical care is a crucial element in the workers' compensation system and therefore the statutes and regulations affecting the approval of treatment require that the reviews are expeditious, thorough, and accurate.  The Legislature adopted evidence based medicine for the California workers' compensation system and established the Medical Utilization Treatment Schedule to define the “best medical care</w:t>
      </w:r>
      <w:r w:rsidR="002006D6">
        <w:rPr>
          <w:rFonts w:cstheme="minorHAnsi"/>
        </w:rPr>
        <w:t>.</w:t>
      </w:r>
      <w:r w:rsidRPr="000068C8">
        <w:rPr>
          <w:rFonts w:cstheme="minorHAnsi"/>
        </w:rPr>
        <w:t>”  Medical utilization review is the mechanism to implement the treatment guidelines and IMR is the procedure to finally determine the appropriate treatment.</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The Legislature has decided that the social policy underlying the Medical Utilization Treatment Schedule, medical utilization review, and independent medical review is to promptly provide the best medical care to injured workers.  Regulations that make that process unduly bureaucratic, impede the ability to review requested treatment, or impose excessive penalties that preclude legitimate statutory activity undermine that legislative policy decision.  </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The level of proposed penalties for utilization review and independent medical review enforcement is excessive and will impermissibly constrain the operation of section 4610, 4610.5, and 4610.6.  The proposed penalty scheme under section 9792.12 narrows the scope of medical utilization review and is, therefore, in conflict with the statute.  The current proposed regulations increase nearly every penalty, apply cumulative penalties, and fail to differentiate between harmless errors and material failures that have a significant adverse effect on the review of medical treatment.  The new proposed penalties have, therefore, significantly exacerbated the problem.  The problem, simply </w:t>
      </w:r>
      <w:r w:rsidRPr="000068C8">
        <w:rPr>
          <w:rFonts w:cstheme="minorHAnsi"/>
        </w:rPr>
        <w:lastRenderedPageBreak/>
        <w:t>stated, is that the threat of excessive penalties will curtail legitimate medical utilization review activity that the statute permits.</w:t>
      </w:r>
    </w:p>
    <w:p w:rsidR="000068C8" w:rsidRPr="000068C8" w:rsidRDefault="000068C8" w:rsidP="000068C8">
      <w:pPr>
        <w:rPr>
          <w:rFonts w:cstheme="minorHAnsi"/>
        </w:rPr>
      </w:pPr>
      <w:r w:rsidRPr="000068C8">
        <w:rPr>
          <w:rFonts w:cstheme="minorHAnsi"/>
          <w:b/>
        </w:rPr>
        <w:t xml:space="preserve">Authority </w:t>
      </w:r>
    </w:p>
    <w:p w:rsidR="000068C8" w:rsidRPr="000068C8" w:rsidRDefault="000068C8" w:rsidP="000068C8">
      <w:pPr>
        <w:rPr>
          <w:rFonts w:cstheme="minorHAnsi"/>
        </w:rPr>
      </w:pPr>
      <w:r w:rsidRPr="000068C8">
        <w:rPr>
          <w:rFonts w:cstheme="minorHAnsi"/>
        </w:rPr>
        <w:t>The task imposed on state agencies by Government Code section 11342.2 is often very delicate.  The statute allows:</w:t>
      </w:r>
    </w:p>
    <w:p w:rsidR="000068C8" w:rsidRPr="000068C8" w:rsidRDefault="00164DDC" w:rsidP="00164DDC">
      <w:pPr>
        <w:ind w:left="720"/>
        <w:rPr>
          <w:rFonts w:cstheme="minorHAnsi"/>
        </w:rPr>
      </w:pPr>
      <w:r>
        <w:rPr>
          <w:rFonts w:cstheme="minorHAnsi"/>
        </w:rPr>
        <w:t>“</w:t>
      </w:r>
      <w:r w:rsidR="000068C8" w:rsidRPr="000068C8">
        <w:rPr>
          <w:rFonts w:cstheme="minorHAnsi"/>
        </w:rPr>
        <w:t>Whenever by the express or implied terms of any statute a state agency has authority to adopt regulations to implement, interpret, make specific or otherwise carry out the provisions of the statute, no regulation adopted is valid or effective unless consistent and not in conflict with the statute and reasonably necessary to effectuate the purpose of the statute.</w:t>
      </w:r>
      <w:r>
        <w:rPr>
          <w:rFonts w:cstheme="minorHAnsi"/>
        </w:rPr>
        <w:t>”</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It is the responsibility of the AD to interpret these statutes to make them specific, and to enforce their dictates.  And, at the same time, the AD must permit the statutes to function in order to attain its legislative goals.  Administrative regulations that alter or amend the statute or enlarge or impair the scope of the statute are void, and courts are obligated to strike down such regulations.  </w:t>
      </w:r>
      <w:r w:rsidRPr="000068C8">
        <w:rPr>
          <w:rFonts w:cstheme="minorHAnsi"/>
          <w:u w:val="single"/>
        </w:rPr>
        <w:t>Morris v. Williams</w:t>
      </w:r>
      <w:r w:rsidRPr="000068C8">
        <w:rPr>
          <w:rFonts w:cstheme="minorHAnsi"/>
        </w:rPr>
        <w:t xml:space="preserve"> (1967) 63 CR 689, 67 C2d 733, 433 P.2d 697.</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b/>
        </w:rPr>
        <w:t xml:space="preserve">Discussion </w:t>
      </w:r>
    </w:p>
    <w:p w:rsidR="000068C8" w:rsidRPr="000068C8" w:rsidRDefault="000068C8" w:rsidP="000068C8">
      <w:pPr>
        <w:rPr>
          <w:rFonts w:cstheme="minorHAnsi"/>
        </w:rPr>
      </w:pPr>
      <w:r w:rsidRPr="000068C8">
        <w:rPr>
          <w:rFonts w:cstheme="minorHAnsi"/>
        </w:rPr>
        <w:t xml:space="preserve">With every penalty regulation adopted, the </w:t>
      </w:r>
      <w:r w:rsidR="00C54E54">
        <w:rPr>
          <w:rFonts w:cstheme="minorHAnsi"/>
        </w:rPr>
        <w:t>A</w:t>
      </w:r>
      <w:r w:rsidRPr="000068C8">
        <w:rPr>
          <w:rFonts w:cstheme="minorHAnsi"/>
        </w:rPr>
        <w:t xml:space="preserve">dministrative </w:t>
      </w:r>
      <w:r w:rsidR="00C54E54">
        <w:rPr>
          <w:rFonts w:cstheme="minorHAnsi"/>
        </w:rPr>
        <w:t>D</w:t>
      </w:r>
      <w:r w:rsidRPr="000068C8">
        <w:rPr>
          <w:rFonts w:cstheme="minorHAnsi"/>
        </w:rPr>
        <w:t xml:space="preserve">irector is determining not only how to review medical treatment, but also </w:t>
      </w:r>
      <w:r w:rsidRPr="000068C8">
        <w:rPr>
          <w:rFonts w:cstheme="minorHAnsi"/>
          <w:u w:val="single"/>
        </w:rPr>
        <w:t>whether</w:t>
      </w:r>
      <w:r w:rsidRPr="000068C8">
        <w:rPr>
          <w:rFonts w:cstheme="minorHAnsi"/>
        </w:rPr>
        <w:t xml:space="preserve"> medical utilization review</w:t>
      </w:r>
      <w:r w:rsidR="0011555D">
        <w:rPr>
          <w:rFonts w:cstheme="minorHAnsi"/>
        </w:rPr>
        <w:t xml:space="preserve"> (UR)</w:t>
      </w:r>
      <w:r w:rsidRPr="000068C8">
        <w:rPr>
          <w:rFonts w:cstheme="minorHAnsi"/>
        </w:rPr>
        <w:t xml:space="preserve"> will be </w:t>
      </w:r>
      <w:r w:rsidR="006C428E">
        <w:rPr>
          <w:rFonts w:cstheme="minorHAnsi"/>
        </w:rPr>
        <w:t xml:space="preserve">meaningfully </w:t>
      </w:r>
      <w:r w:rsidRPr="000068C8">
        <w:rPr>
          <w:rFonts w:cstheme="minorHAnsi"/>
        </w:rPr>
        <w:t>used at all.  It is the A</w:t>
      </w:r>
      <w:r w:rsidR="006C428E">
        <w:rPr>
          <w:rFonts w:cstheme="minorHAnsi"/>
        </w:rPr>
        <w:t xml:space="preserve">dministrative </w:t>
      </w:r>
      <w:r w:rsidRPr="000068C8">
        <w:rPr>
          <w:rFonts w:cstheme="minorHAnsi"/>
        </w:rPr>
        <w:t>D</w:t>
      </w:r>
      <w:r w:rsidR="006C428E">
        <w:rPr>
          <w:rFonts w:cstheme="minorHAnsi"/>
        </w:rPr>
        <w:t>irector</w:t>
      </w:r>
      <w:r w:rsidRPr="000068C8">
        <w:rPr>
          <w:rFonts w:cstheme="minorHAnsi"/>
        </w:rPr>
        <w:t xml:space="preserve">’s stated intent to “provide a clear and effective disincentive to practices under which injured workers are improperly delayed or denied the medical treatment that has been recommended by their treating physicians.”  For every penalty established in section 9712.12, whether it is a stated range, a cumulative penalty, or can be altered by mitigating factors, the </w:t>
      </w:r>
      <w:r w:rsidR="0011555D">
        <w:rPr>
          <w:rFonts w:cstheme="minorHAnsi"/>
        </w:rPr>
        <w:t>Administrative Director</w:t>
      </w:r>
      <w:r w:rsidRPr="000068C8">
        <w:rPr>
          <w:rFonts w:cstheme="minorHAnsi"/>
        </w:rPr>
        <w:t xml:space="preserve"> is limiting the tools for medical utilization review that have been provided by statute.</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The art of crafting proper penalty regulations is to balance the desired deterrent effect with sufficient latitude, so that the penalties do not impede claim management activities mandated or permitted by statute.  The proposed penalty regulations are ostensibly aimed at bad actors, incompetent medical reviewers, and negligently processed or ignored treatment requests.  But the by-product of that deterrence will be that in order to avoid the risk of excessive penalties, the claims administrator may have to avoid some utilization review</w:t>
      </w:r>
      <w:r w:rsidR="006C428E">
        <w:rPr>
          <w:rFonts w:cstheme="minorHAnsi"/>
        </w:rPr>
        <w:t xml:space="preserve"> modifications or denials</w:t>
      </w:r>
      <w:r w:rsidRPr="000068C8">
        <w:rPr>
          <w:rFonts w:cstheme="minorHAnsi"/>
        </w:rPr>
        <w:t xml:space="preserve">.  </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The newly proposed penalty schedule requires claims administrators to reconsider the level at which utilization review should be conducted.  This will essentially eliminate the cost-effective review of </w:t>
      </w:r>
      <w:r w:rsidR="0011555D">
        <w:rPr>
          <w:rFonts w:cstheme="minorHAnsi"/>
        </w:rPr>
        <w:t xml:space="preserve">individual </w:t>
      </w:r>
      <w:r w:rsidRPr="000068C8">
        <w:rPr>
          <w:rFonts w:cstheme="minorHAnsi"/>
        </w:rPr>
        <w:t>physical medicine</w:t>
      </w:r>
      <w:r w:rsidR="0011555D">
        <w:rPr>
          <w:rFonts w:cstheme="minorHAnsi"/>
        </w:rPr>
        <w:t xml:space="preserve"> procedures</w:t>
      </w:r>
      <w:r w:rsidRPr="000068C8">
        <w:rPr>
          <w:rFonts w:cstheme="minorHAnsi"/>
        </w:rPr>
        <w:t>, including physical therapy and chiropractic care.  Medical utilization review tools created by the Legislature will become prohibitive, resulting in an added administrative cost to the system, a lessened ability to control unnecessary and unreasonable medical treatment, and a higher system cost.  By making effective utilization review impractical for certain levels of medical care, the A</w:t>
      </w:r>
      <w:r w:rsidR="0011555D">
        <w:rPr>
          <w:rFonts w:cstheme="minorHAnsi"/>
        </w:rPr>
        <w:t xml:space="preserve">dministrative </w:t>
      </w:r>
      <w:r w:rsidRPr="000068C8">
        <w:rPr>
          <w:rFonts w:cstheme="minorHAnsi"/>
        </w:rPr>
        <w:t>D</w:t>
      </w:r>
      <w:r w:rsidR="0011555D">
        <w:rPr>
          <w:rFonts w:cstheme="minorHAnsi"/>
        </w:rPr>
        <w:t>irector</w:t>
      </w:r>
      <w:r w:rsidRPr="000068C8">
        <w:rPr>
          <w:rFonts w:cstheme="minorHAnsi"/>
        </w:rPr>
        <w:t xml:space="preserve"> is allowing poor quality treatment to go </w:t>
      </w:r>
      <w:r w:rsidRPr="000068C8">
        <w:rPr>
          <w:rFonts w:cstheme="minorHAnsi"/>
        </w:rPr>
        <w:lastRenderedPageBreak/>
        <w:t>unchallenged.  The result for injured workers is that medical care that does no harm, but does no good, will be allowed to continue in the workers' compensation system.</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The proposed penalty regulations narrow the scope of permissible </w:t>
      </w:r>
      <w:r w:rsidR="0011555D">
        <w:rPr>
          <w:rFonts w:cstheme="minorHAnsi"/>
        </w:rPr>
        <w:t>utilization review</w:t>
      </w:r>
      <w:r w:rsidRPr="000068C8">
        <w:rPr>
          <w:rFonts w:cstheme="minorHAnsi"/>
        </w:rPr>
        <w:t xml:space="preserve"> activity under the statute, and are, therefore, invalid.  This applies to the individual penalties as well as the cumulative effect of the enforcement plan.  The potential penalty for conducting permissible activity under the statute must be clearly stated at reasonable and fair levels, or the regulation is too intrusive into the authority of the statute.  </w:t>
      </w:r>
    </w:p>
    <w:p w:rsidR="000068C8" w:rsidRDefault="000068C8" w:rsidP="000068C8">
      <w:pPr>
        <w:rPr>
          <w:rFonts w:cstheme="minorHAnsi"/>
        </w:rPr>
      </w:pPr>
    </w:p>
    <w:p w:rsidR="007F361D" w:rsidRPr="000068C8" w:rsidRDefault="007F361D" w:rsidP="000068C8">
      <w:pPr>
        <w:rPr>
          <w:rFonts w:cstheme="minorHAnsi"/>
        </w:rPr>
      </w:pPr>
    </w:p>
    <w:p w:rsidR="000068C8" w:rsidRPr="000068C8" w:rsidRDefault="000068C8" w:rsidP="000068C8">
      <w:pPr>
        <w:rPr>
          <w:rFonts w:cstheme="minorHAnsi"/>
          <w:b/>
        </w:rPr>
      </w:pPr>
      <w:r w:rsidRPr="000068C8">
        <w:rPr>
          <w:rFonts w:cstheme="minorHAnsi"/>
          <w:b/>
        </w:rPr>
        <w:t>§ 9792.12.  Administrative Penalty Schedule</w:t>
      </w:r>
    </w:p>
    <w:p w:rsidR="000068C8" w:rsidRPr="000068C8" w:rsidRDefault="000068C8" w:rsidP="000068C8">
      <w:pPr>
        <w:rPr>
          <w:rFonts w:cstheme="minorHAnsi"/>
          <w:b/>
        </w:rPr>
      </w:pPr>
    </w:p>
    <w:p w:rsidR="000068C8" w:rsidRPr="000068C8" w:rsidRDefault="000068C8" w:rsidP="000068C8">
      <w:pPr>
        <w:rPr>
          <w:rFonts w:cstheme="minorHAnsi"/>
          <w:b/>
        </w:rPr>
      </w:pPr>
      <w:r w:rsidRPr="000068C8">
        <w:rPr>
          <w:rFonts w:cstheme="minorHAnsi"/>
          <w:b/>
        </w:rPr>
        <w:t>Sections 9792.12(a)(12)(13) and (14)</w:t>
      </w:r>
    </w:p>
    <w:p w:rsidR="000068C8" w:rsidRPr="000068C8" w:rsidRDefault="000068C8" w:rsidP="000068C8">
      <w:pPr>
        <w:rPr>
          <w:rFonts w:cstheme="minorHAnsi"/>
        </w:rPr>
      </w:pPr>
      <w:r w:rsidRPr="000068C8">
        <w:rPr>
          <w:rFonts w:cstheme="minorHAnsi"/>
          <w:b/>
        </w:rPr>
        <w:t>Recommendation</w:t>
      </w:r>
      <w:r w:rsidRPr="000068C8">
        <w:rPr>
          <w:rFonts w:cstheme="minorHAnsi"/>
        </w:rPr>
        <w:t>: Strike these sections.</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b/>
        </w:rPr>
        <w:t>Discussion</w:t>
      </w:r>
      <w:r w:rsidRPr="000068C8">
        <w:rPr>
          <w:rFonts w:cstheme="minorHAnsi"/>
        </w:rPr>
        <w:t xml:space="preserve">: In section 9792.9.1(c)(2), the AD has created a process by which a request for treatment may be made in any manner making it possible for a claims administrator to have “accepted” a request for authorization without ever having seen it.  Under these sections, the penalty for failing to discover a hidden request for authorization is $2,000.  Such a penalty is only reasonable if the regulations continue to require that the request for authorization be stated in the appropriate, readily identifiable DWC Form RFA.  It is not reasonable to penalize a claims administrator for failing to </w:t>
      </w:r>
      <w:r w:rsidR="009C2222">
        <w:rPr>
          <w:rFonts w:cstheme="minorHAnsi"/>
        </w:rPr>
        <w:t>identify a request that is not provided on the standard form</w:t>
      </w:r>
      <w:r w:rsidRPr="000068C8">
        <w:rPr>
          <w:rFonts w:cstheme="minorHAnsi"/>
        </w:rPr>
        <w:t>.</w:t>
      </w:r>
      <w:r w:rsidR="009C2222">
        <w:rPr>
          <w:rFonts w:cstheme="minorHAnsi"/>
        </w:rPr>
        <w:t xml:space="preserve">  As written, a request not on the standard form may not be identified as a request for authorization.  See</w:t>
      </w:r>
      <w:r w:rsidR="008A7C56">
        <w:rPr>
          <w:rFonts w:cstheme="minorHAnsi"/>
        </w:rPr>
        <w:t xml:space="preserve"> the</w:t>
      </w:r>
      <w:r w:rsidR="009C2222">
        <w:rPr>
          <w:rFonts w:cstheme="minorHAnsi"/>
        </w:rPr>
        <w:t xml:space="preserve"> introduction </w:t>
      </w:r>
      <w:r w:rsidR="008A7C56">
        <w:rPr>
          <w:rFonts w:cstheme="minorHAnsi"/>
        </w:rPr>
        <w:t>for additional detail.</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As we have argued previously, it is preferable that the DWC request for authorization form continue to be used but if the AD retains the provisions of section 9792.9.1(c)(2), then the proposed penalty should be reduced to $100 if the treating physician clearly meets the criterion for using the alternative means of requesting treatment in section 9792.9.1(c)(2)(B).  </w:t>
      </w:r>
      <w:r w:rsidRPr="000068C8">
        <w:rPr>
          <w:rFonts w:cstheme="minorHAnsi"/>
        </w:rPr>
        <w:br/>
      </w:r>
    </w:p>
    <w:p w:rsidR="000068C8" w:rsidRPr="000068C8" w:rsidRDefault="000068C8" w:rsidP="000068C8">
      <w:pPr>
        <w:rPr>
          <w:rFonts w:cstheme="minorHAnsi"/>
        </w:rPr>
      </w:pPr>
      <w:r w:rsidRPr="000068C8">
        <w:rPr>
          <w:rFonts w:cstheme="minorHAnsi"/>
        </w:rPr>
        <w:t>A similar problem exists with the $100 penalties contained in section 9792.12(b)(4)(C) and (D) for the same reasons.  A claims administrator should not be penalized for procedural failures that may be caused by a request for treatment that is not readily identifiable.</w:t>
      </w:r>
    </w:p>
    <w:p w:rsidR="000068C8" w:rsidRPr="000068C8" w:rsidRDefault="000068C8" w:rsidP="000068C8">
      <w:pPr>
        <w:rPr>
          <w:rFonts w:cstheme="minorHAnsi"/>
        </w:rPr>
      </w:pPr>
    </w:p>
    <w:p w:rsidR="000068C8" w:rsidRPr="000068C8" w:rsidRDefault="000068C8" w:rsidP="000068C8">
      <w:pPr>
        <w:rPr>
          <w:rFonts w:cstheme="minorHAnsi"/>
          <w:b/>
        </w:rPr>
      </w:pPr>
      <w:r w:rsidRPr="000068C8">
        <w:rPr>
          <w:rFonts w:cstheme="minorHAnsi"/>
          <w:b/>
        </w:rPr>
        <w:t>Cumulative Penalties</w:t>
      </w:r>
    </w:p>
    <w:p w:rsidR="000068C8" w:rsidRPr="000068C8" w:rsidRDefault="000068C8" w:rsidP="000068C8">
      <w:pPr>
        <w:rPr>
          <w:rFonts w:cstheme="minorHAnsi"/>
        </w:rPr>
      </w:pPr>
      <w:r w:rsidRPr="000068C8">
        <w:rPr>
          <w:rFonts w:cstheme="minorHAnsi"/>
          <w:b/>
        </w:rPr>
        <w:t xml:space="preserve">Recommendation </w:t>
      </w:r>
    </w:p>
    <w:p w:rsidR="000068C8" w:rsidRPr="000068C8" w:rsidRDefault="000068C8" w:rsidP="000068C8">
      <w:pPr>
        <w:rPr>
          <w:rFonts w:cstheme="minorHAnsi"/>
        </w:rPr>
      </w:pPr>
      <w:r w:rsidRPr="000068C8">
        <w:rPr>
          <w:rFonts w:cstheme="minorHAnsi"/>
        </w:rPr>
        <w:t>Many of the proposed penalties are cumulative, overlapping, and highly technical.  We recommend that the penalties be revised to focus on specific conduct that has a clear, direct adverse impact on the completion of the IMR process.</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b/>
        </w:rPr>
        <w:t xml:space="preserve">Discussion </w:t>
      </w:r>
    </w:p>
    <w:p w:rsidR="000068C8" w:rsidRPr="000068C8" w:rsidRDefault="000068C8" w:rsidP="000068C8">
      <w:pPr>
        <w:rPr>
          <w:rFonts w:cstheme="minorHAnsi"/>
        </w:rPr>
      </w:pPr>
      <w:r w:rsidRPr="000068C8">
        <w:rPr>
          <w:rFonts w:cstheme="minorHAnsi"/>
        </w:rPr>
        <w:t>Utilization review and IMR are systems put in place by the Legislature to expedite the provision of the best possible medical care for each injured worker, as defined by evidence</w:t>
      </w:r>
      <w:r w:rsidR="005170E5">
        <w:rPr>
          <w:rFonts w:cstheme="minorHAnsi"/>
        </w:rPr>
        <w:t>-</w:t>
      </w:r>
      <w:r w:rsidRPr="000068C8">
        <w:rPr>
          <w:rFonts w:cstheme="minorHAnsi"/>
        </w:rPr>
        <w:t xml:space="preserve">based medical treatment guidelines.  The statutory timelines require that both the UR decisions and the IMR determination be completed expeditiously.  There is no </w:t>
      </w:r>
      <w:r w:rsidRPr="000068C8">
        <w:rPr>
          <w:rFonts w:cstheme="minorHAnsi"/>
        </w:rPr>
        <w:lastRenderedPageBreak/>
        <w:t xml:space="preserve">question, then, that delays or omissions cannot be tolerated and penalties to enforce the appropriate conduct are justified.   </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Penalties for procedural or formatting errors or for conduct that is unrelated to the statutory objective should be eliminated.  Provisions that penalize the same conduct in the same case with multiple violations should also be combined or eliminated to provide a clearer understanding of the obligations of the parties with regard to the process. </w:t>
      </w:r>
    </w:p>
    <w:p w:rsidR="000068C8" w:rsidRPr="000068C8" w:rsidRDefault="000068C8" w:rsidP="000068C8">
      <w:pPr>
        <w:rPr>
          <w:rFonts w:cstheme="minorHAnsi"/>
        </w:rPr>
      </w:pPr>
    </w:p>
    <w:p w:rsidR="000068C8" w:rsidRPr="000068C8" w:rsidRDefault="000068C8" w:rsidP="000068C8">
      <w:pPr>
        <w:rPr>
          <w:rFonts w:cstheme="minorHAnsi"/>
          <w:b/>
        </w:rPr>
      </w:pPr>
      <w:r w:rsidRPr="000068C8">
        <w:rPr>
          <w:rFonts w:cstheme="minorHAnsi"/>
          <w:b/>
        </w:rPr>
        <w:t>Material Errors</w:t>
      </w:r>
    </w:p>
    <w:p w:rsidR="000068C8" w:rsidRPr="000068C8" w:rsidRDefault="000068C8" w:rsidP="000068C8">
      <w:pPr>
        <w:rPr>
          <w:rFonts w:cstheme="minorHAnsi"/>
        </w:rPr>
      </w:pPr>
      <w:r w:rsidRPr="000068C8">
        <w:rPr>
          <w:rFonts w:cstheme="minorHAnsi"/>
          <w:b/>
        </w:rPr>
        <w:t xml:space="preserve">Recommendation </w:t>
      </w:r>
    </w:p>
    <w:p w:rsidR="000068C8" w:rsidRPr="000068C8" w:rsidRDefault="000068C8" w:rsidP="000068C8">
      <w:pPr>
        <w:rPr>
          <w:rFonts w:cstheme="minorHAnsi"/>
        </w:rPr>
      </w:pPr>
      <w:r w:rsidRPr="000068C8">
        <w:rPr>
          <w:rFonts w:cstheme="minorHAnsi"/>
        </w:rPr>
        <w:t>Every penalty schedule contained in section 9792.12 must include the mitigating concept of materiality.  If the action, omission, or deficit does not materially affect the process, then a penalty is not warranted.</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b/>
        </w:rPr>
        <w:t xml:space="preserve">Discussion </w:t>
      </w:r>
    </w:p>
    <w:p w:rsidR="000068C8" w:rsidRPr="000068C8" w:rsidRDefault="000068C8" w:rsidP="000068C8">
      <w:pPr>
        <w:rPr>
          <w:rFonts w:cstheme="minorHAnsi"/>
        </w:rPr>
      </w:pPr>
      <w:r w:rsidRPr="000068C8">
        <w:rPr>
          <w:rFonts w:cstheme="minorHAnsi"/>
        </w:rPr>
        <w:t>The Institute appreciates the impact penalties can have as a deterrent to non-compliance</w:t>
      </w:r>
      <w:r w:rsidR="009D49B7">
        <w:rPr>
          <w:rFonts w:cstheme="minorHAnsi"/>
        </w:rPr>
        <w:t>,</w:t>
      </w:r>
      <w:r w:rsidRPr="000068C8">
        <w:rPr>
          <w:rFonts w:cstheme="minorHAnsi"/>
        </w:rPr>
        <w:t xml:space="preserve"> but the recourse to severe penalties should be limited to failures and deficits that have a direct detrimental impact on the operation of the provision of medical care, whether it is a failure to notify or the failure to respond to a request for additional medical records.  </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Section 9792.12(c)(1) and (2) are an example of the failure to consider materiality and proportionality.  The failure to provide the IMR request form, subdivision (1), is a $2</w:t>
      </w:r>
      <w:r w:rsidR="009D49B7">
        <w:rPr>
          <w:rFonts w:cstheme="minorHAnsi"/>
        </w:rPr>
        <w:t>,</w:t>
      </w:r>
      <w:r w:rsidRPr="000068C8">
        <w:rPr>
          <w:rFonts w:cstheme="minorHAnsi"/>
        </w:rPr>
        <w:t>000 penalty.  If the claims administrator provides the form with the UR decision but the form is incomplete, then the penalty schedule could easily exceed $2</w:t>
      </w:r>
      <w:r w:rsidR="009D49B7">
        <w:rPr>
          <w:rFonts w:cstheme="minorHAnsi"/>
        </w:rPr>
        <w:t>,</w:t>
      </w:r>
      <w:r w:rsidRPr="000068C8">
        <w:rPr>
          <w:rFonts w:cstheme="minorHAnsi"/>
        </w:rPr>
        <w:t>000.  Nowhere do these regulations provide relief from purely technical defects that do not interfere with or impede in any way the operation of the IMR or the provision of medical care.</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We recommend including instruction</w:t>
      </w:r>
      <w:r w:rsidR="009D49B7">
        <w:rPr>
          <w:rFonts w:cstheme="minorHAnsi"/>
        </w:rPr>
        <w:t>s</w:t>
      </w:r>
      <w:r w:rsidRPr="000068C8">
        <w:rPr>
          <w:rFonts w:cstheme="minorHAnsi"/>
        </w:rPr>
        <w:t xml:space="preserve"> within the regulations ensuring that the penalties are proportionate to the violations and including additional provisions for mitigation as permitted under other administrative penalty provisions.  The Administrative Director can achieve compliance and accountability with a more reasonable penalty schedule.   </w:t>
      </w:r>
    </w:p>
    <w:p w:rsidR="000068C8" w:rsidRPr="000068C8" w:rsidRDefault="000068C8" w:rsidP="000068C8">
      <w:pPr>
        <w:rPr>
          <w:rFonts w:cstheme="minorHAnsi"/>
        </w:rPr>
      </w:pPr>
    </w:p>
    <w:p w:rsidR="000068C8" w:rsidRPr="000068C8" w:rsidRDefault="000068C8" w:rsidP="000068C8">
      <w:pPr>
        <w:rPr>
          <w:rFonts w:cstheme="minorHAnsi"/>
        </w:rPr>
      </w:pPr>
      <w:r w:rsidRPr="000068C8">
        <w:rPr>
          <w:rFonts w:cstheme="minorHAnsi"/>
        </w:rPr>
        <w:t xml:space="preserve">The </w:t>
      </w:r>
      <w:r w:rsidR="009D49B7">
        <w:rPr>
          <w:rFonts w:cstheme="minorHAnsi"/>
        </w:rPr>
        <w:t>D</w:t>
      </w:r>
      <w:r w:rsidR="009D49B7" w:rsidRPr="000068C8">
        <w:rPr>
          <w:rFonts w:cstheme="minorHAnsi"/>
        </w:rPr>
        <w:t xml:space="preserve">ivision </w:t>
      </w:r>
      <w:r w:rsidRPr="000068C8">
        <w:rPr>
          <w:rFonts w:cstheme="minorHAnsi"/>
        </w:rPr>
        <w:t>and the workers</w:t>
      </w:r>
      <w:r w:rsidR="009D49B7">
        <w:rPr>
          <w:rFonts w:cstheme="minorHAnsi"/>
        </w:rPr>
        <w:t>’</w:t>
      </w:r>
      <w:r w:rsidRPr="000068C8">
        <w:rPr>
          <w:rFonts w:cstheme="minorHAnsi"/>
        </w:rPr>
        <w:t xml:space="preserve"> compensation community have experienced extensive and ongoing deficits and technical defects in the IMR process that have caused significant delays in the IMR process since the inception of the program.  The AD needs to focus the deterrent effect of the penalties on significant failures that can be rectified by claims administrators and temper the corrective action contained in the penalty regulations. </w:t>
      </w:r>
    </w:p>
    <w:p w:rsidR="000068C8" w:rsidRDefault="000068C8" w:rsidP="00D26E87">
      <w:pPr>
        <w:rPr>
          <w:rFonts w:cstheme="minorHAnsi"/>
        </w:rPr>
      </w:pPr>
    </w:p>
    <w:p w:rsidR="00523A3F" w:rsidRDefault="00523A3F" w:rsidP="00D26E87">
      <w:pPr>
        <w:rPr>
          <w:rFonts w:cstheme="minorHAnsi"/>
        </w:rPr>
      </w:pPr>
    </w:p>
    <w:p w:rsidR="00312CB1" w:rsidRPr="00702C90" w:rsidRDefault="00562A5A" w:rsidP="00577821">
      <w:pPr>
        <w:rPr>
          <w:szCs w:val="24"/>
        </w:rPr>
      </w:pPr>
      <w:r w:rsidRPr="00702C90">
        <w:rPr>
          <w:szCs w:val="24"/>
        </w:rPr>
        <w:t>Thank</w:t>
      </w:r>
      <w:r w:rsidR="00B63D86" w:rsidRPr="00702C90">
        <w:rPr>
          <w:szCs w:val="24"/>
        </w:rPr>
        <w:t xml:space="preserve"> </w:t>
      </w:r>
      <w:r w:rsidRPr="00702C90">
        <w:rPr>
          <w:szCs w:val="24"/>
        </w:rPr>
        <w:t xml:space="preserve">you for </w:t>
      </w:r>
      <w:r w:rsidR="000F134F" w:rsidRPr="00702C90">
        <w:rPr>
          <w:szCs w:val="24"/>
        </w:rPr>
        <w:t xml:space="preserve">all the effort put into these regulations and for </w:t>
      </w:r>
      <w:r w:rsidRPr="00702C90">
        <w:rPr>
          <w:szCs w:val="24"/>
        </w:rPr>
        <w:t xml:space="preserve">considering </w:t>
      </w:r>
      <w:r w:rsidR="000C2810" w:rsidRPr="00702C90">
        <w:rPr>
          <w:szCs w:val="24"/>
        </w:rPr>
        <w:t>our</w:t>
      </w:r>
      <w:r w:rsidRPr="00702C90">
        <w:rPr>
          <w:szCs w:val="24"/>
        </w:rPr>
        <w:t xml:space="preserve"> comments. </w:t>
      </w:r>
    </w:p>
    <w:p w:rsidR="00D11149" w:rsidRPr="00702C90" w:rsidRDefault="00D11149">
      <w:pPr>
        <w:pStyle w:val="MessageHeader"/>
        <w:tabs>
          <w:tab w:val="left" w:pos="900"/>
        </w:tabs>
        <w:spacing w:after="0" w:line="240" w:lineRule="auto"/>
        <w:ind w:left="0" w:firstLine="0"/>
        <w:rPr>
          <w:rFonts w:ascii="Times New Roman" w:hAnsi="Times New Roman"/>
          <w:spacing w:val="0"/>
          <w:szCs w:val="24"/>
        </w:rPr>
      </w:pP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Sincerely, </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p>
    <w:p w:rsidR="00B63D86" w:rsidRPr="00702C90" w:rsidRDefault="00B63D86">
      <w:pPr>
        <w:pStyle w:val="MessageHeader"/>
        <w:tabs>
          <w:tab w:val="left" w:pos="900"/>
        </w:tabs>
        <w:spacing w:after="0" w:line="240" w:lineRule="auto"/>
        <w:ind w:left="0" w:firstLine="0"/>
        <w:rPr>
          <w:rFonts w:ascii="Times New Roman" w:hAnsi="Times New Roman"/>
          <w:spacing w:val="0"/>
          <w:szCs w:val="24"/>
        </w:rPr>
      </w:pP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lastRenderedPageBreak/>
        <w:t>Brenda Ramirez</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Claims and Medical Director</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BR/pm </w:t>
      </w:r>
    </w:p>
    <w:p w:rsidR="00A92004" w:rsidRPr="00702C90" w:rsidRDefault="00A92004">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Attachments</w:t>
      </w:r>
    </w:p>
    <w:p w:rsidR="00F142DA"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cc:   </w:t>
      </w:r>
      <w:r w:rsidR="00F142DA" w:rsidRPr="00702C90">
        <w:rPr>
          <w:rFonts w:ascii="Times New Roman" w:hAnsi="Times New Roman"/>
          <w:spacing w:val="0"/>
          <w:szCs w:val="24"/>
        </w:rPr>
        <w:t xml:space="preserve">Christine Baker, DIR Director </w:t>
      </w:r>
    </w:p>
    <w:p w:rsidR="00312CB1" w:rsidRPr="00702C90" w:rsidRDefault="00F142DA">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w:t>
      </w:r>
      <w:r w:rsidR="00C45F23" w:rsidRPr="00702C90">
        <w:rPr>
          <w:rFonts w:ascii="Times New Roman" w:hAnsi="Times New Roman"/>
          <w:spacing w:val="0"/>
          <w:szCs w:val="24"/>
        </w:rPr>
        <w:t>Destie Overpeck</w:t>
      </w:r>
      <w:r w:rsidR="00312CB1" w:rsidRPr="00702C90">
        <w:rPr>
          <w:rFonts w:ascii="Times New Roman" w:hAnsi="Times New Roman"/>
          <w:spacing w:val="0"/>
          <w:szCs w:val="24"/>
        </w:rPr>
        <w:t>, DWC Acting Administrative Director</w:t>
      </w:r>
    </w:p>
    <w:p w:rsidR="00F142DA" w:rsidRPr="00702C90" w:rsidRDefault="00E20EF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w:t>
      </w:r>
      <w:r w:rsidR="002C1618" w:rsidRPr="00702C90">
        <w:rPr>
          <w:rFonts w:ascii="Times New Roman" w:hAnsi="Times New Roman"/>
          <w:spacing w:val="0"/>
          <w:szCs w:val="24"/>
        </w:rPr>
        <w:t xml:space="preserve">Dr. </w:t>
      </w:r>
      <w:r w:rsidR="005170E5">
        <w:rPr>
          <w:rFonts w:ascii="Times New Roman" w:hAnsi="Times New Roman"/>
          <w:spacing w:val="0"/>
          <w:szCs w:val="24"/>
        </w:rPr>
        <w:t xml:space="preserve">Rupali </w:t>
      </w:r>
      <w:r w:rsidR="002C1618" w:rsidRPr="00702C90">
        <w:rPr>
          <w:rFonts w:ascii="Times New Roman" w:hAnsi="Times New Roman"/>
          <w:spacing w:val="0"/>
          <w:szCs w:val="24"/>
        </w:rPr>
        <w:t>Das</w:t>
      </w:r>
      <w:r w:rsidR="005170E5">
        <w:rPr>
          <w:rFonts w:ascii="Times New Roman" w:hAnsi="Times New Roman"/>
          <w:spacing w:val="0"/>
          <w:szCs w:val="24"/>
        </w:rPr>
        <w:t>,</w:t>
      </w:r>
      <w:r w:rsidR="002C1618" w:rsidRPr="00702C90">
        <w:rPr>
          <w:rFonts w:ascii="Times New Roman" w:hAnsi="Times New Roman"/>
          <w:spacing w:val="0"/>
          <w:szCs w:val="24"/>
        </w:rPr>
        <w:t xml:space="preserve"> </w:t>
      </w:r>
      <w:r w:rsidR="00F142DA" w:rsidRPr="00702C90">
        <w:rPr>
          <w:rFonts w:ascii="Times New Roman" w:hAnsi="Times New Roman"/>
          <w:spacing w:val="0"/>
          <w:szCs w:val="24"/>
        </w:rPr>
        <w:t xml:space="preserve">DWC </w:t>
      </w:r>
      <w:r w:rsidR="00EF4F1E" w:rsidRPr="00702C90">
        <w:rPr>
          <w:rFonts w:ascii="Times New Roman" w:hAnsi="Times New Roman"/>
          <w:spacing w:val="0"/>
          <w:szCs w:val="24"/>
        </w:rPr>
        <w:t xml:space="preserve">Executive </w:t>
      </w:r>
      <w:r w:rsidR="00F142DA" w:rsidRPr="00702C90">
        <w:rPr>
          <w:rFonts w:ascii="Times New Roman" w:hAnsi="Times New Roman"/>
          <w:spacing w:val="0"/>
          <w:szCs w:val="24"/>
        </w:rPr>
        <w:t>Medical Director</w:t>
      </w:r>
    </w:p>
    <w:p w:rsidR="00312CB1" w:rsidRPr="00702C90" w:rsidRDefault="00F142DA">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w:t>
      </w:r>
      <w:r w:rsidR="00312CB1" w:rsidRPr="00702C90">
        <w:rPr>
          <w:rFonts w:ascii="Times New Roman" w:hAnsi="Times New Roman"/>
          <w:spacing w:val="0"/>
          <w:szCs w:val="24"/>
        </w:rPr>
        <w:t>CWCI Claims Committee</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CWCI Medical Care Committee</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CWCI Legal Committee</w:t>
      </w:r>
    </w:p>
    <w:p w:rsidR="00312CB1" w:rsidRPr="00702C90" w:rsidRDefault="00312CB1">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CWCI Regular Members</w:t>
      </w:r>
    </w:p>
    <w:p w:rsidR="00E17327" w:rsidRPr="00702C90" w:rsidRDefault="00312CB1" w:rsidP="00E538DF">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CWCI Associate Members </w:t>
      </w:r>
    </w:p>
    <w:p w:rsidR="00E17327" w:rsidRPr="00702C90" w:rsidRDefault="004936C9" w:rsidP="00E538DF">
      <w:pPr>
        <w:pStyle w:val="MessageHeader"/>
        <w:tabs>
          <w:tab w:val="left" w:pos="900"/>
        </w:tabs>
        <w:spacing w:after="0" w:line="240" w:lineRule="auto"/>
        <w:ind w:left="0" w:firstLine="0"/>
        <w:rPr>
          <w:rFonts w:ascii="Times New Roman" w:hAnsi="Times New Roman"/>
          <w:spacing w:val="0"/>
          <w:szCs w:val="24"/>
        </w:rPr>
      </w:pPr>
      <w:r w:rsidRPr="00702C90">
        <w:rPr>
          <w:rFonts w:ascii="Times New Roman" w:hAnsi="Times New Roman"/>
          <w:spacing w:val="0"/>
          <w:szCs w:val="24"/>
        </w:rPr>
        <w:t xml:space="preserve">        </w:t>
      </w:r>
      <w:r w:rsidR="00E17327" w:rsidRPr="00702C90">
        <w:rPr>
          <w:rFonts w:ascii="Times New Roman" w:hAnsi="Times New Roman"/>
          <w:spacing w:val="0"/>
          <w:szCs w:val="24"/>
        </w:rPr>
        <w:t>California Chamber of Commerce</w:t>
      </w:r>
    </w:p>
    <w:p w:rsidR="00CC3ACF" w:rsidRPr="00702C90" w:rsidRDefault="00E17327" w:rsidP="00E538DF">
      <w:pPr>
        <w:pStyle w:val="MessageHeader"/>
        <w:tabs>
          <w:tab w:val="left" w:pos="900"/>
        </w:tabs>
        <w:spacing w:after="0" w:line="240" w:lineRule="auto"/>
        <w:ind w:left="0" w:firstLine="0"/>
        <w:rPr>
          <w:rFonts w:ascii="Times New Roman" w:hAnsi="Times New Roman"/>
          <w:bCs/>
          <w:spacing w:val="0"/>
          <w:szCs w:val="24"/>
          <w:lang w:val="en"/>
        </w:rPr>
      </w:pPr>
      <w:r w:rsidRPr="00702C90">
        <w:rPr>
          <w:rFonts w:ascii="Times New Roman" w:hAnsi="Times New Roman"/>
          <w:spacing w:val="0"/>
          <w:szCs w:val="24"/>
        </w:rPr>
        <w:t xml:space="preserve">        </w:t>
      </w:r>
      <w:r w:rsidR="00CC3ACF" w:rsidRPr="00702C90">
        <w:rPr>
          <w:rFonts w:ascii="Times New Roman" w:hAnsi="Times New Roman"/>
          <w:bCs/>
          <w:spacing w:val="0"/>
          <w:szCs w:val="24"/>
          <w:lang w:val="en"/>
        </w:rPr>
        <w:t>California Coalition on Workers' Compensation</w:t>
      </w:r>
    </w:p>
    <w:p w:rsidR="004936C9" w:rsidRPr="00702C90" w:rsidRDefault="00C06631" w:rsidP="00E538DF">
      <w:pPr>
        <w:pStyle w:val="MessageHeader"/>
        <w:tabs>
          <w:tab w:val="left" w:pos="900"/>
        </w:tabs>
        <w:spacing w:after="0" w:line="240" w:lineRule="auto"/>
        <w:ind w:left="0" w:firstLine="0"/>
        <w:rPr>
          <w:rFonts w:ascii="Times New Roman" w:hAnsi="Times New Roman"/>
          <w:szCs w:val="24"/>
        </w:rPr>
      </w:pPr>
      <w:bookmarkStart w:id="0" w:name="_GoBack"/>
      <w:bookmarkEnd w:id="0"/>
      <w:r w:rsidRPr="00702C90">
        <w:rPr>
          <w:rFonts w:ascii="Times New Roman" w:hAnsi="Times New Roman"/>
          <w:spacing w:val="0"/>
          <w:szCs w:val="24"/>
        </w:rPr>
        <w:t xml:space="preserve"> </w:t>
      </w:r>
      <w:r w:rsidR="004936C9" w:rsidRPr="00702C90">
        <w:rPr>
          <w:rFonts w:ascii="Times New Roman" w:hAnsi="Times New Roman"/>
          <w:spacing w:val="0"/>
          <w:szCs w:val="24"/>
        </w:rPr>
        <w:t xml:space="preserve"> </w:t>
      </w:r>
      <w:r w:rsidR="00CC3ACF" w:rsidRPr="00702C90">
        <w:rPr>
          <w:rFonts w:ascii="Times New Roman" w:hAnsi="Times New Roman"/>
          <w:spacing w:val="0"/>
          <w:szCs w:val="24"/>
        </w:rPr>
        <w:t xml:space="preserve">      </w:t>
      </w:r>
      <w:r w:rsidR="00CC3ACF" w:rsidRPr="00702C90">
        <w:rPr>
          <w:rFonts w:ascii="Times New Roman" w:hAnsi="Times New Roman"/>
          <w:spacing w:val="0"/>
          <w:szCs w:val="24"/>
          <w:lang w:val="en"/>
        </w:rPr>
        <w:t>American Insurance Association</w:t>
      </w:r>
    </w:p>
    <w:sectPr w:rsidR="004936C9" w:rsidRPr="00702C90" w:rsidSect="00FC5437">
      <w:footerReference w:type="even" r:id="rId14"/>
      <w:footerReference w:type="default" r:id="rId15"/>
      <w:pgSz w:w="12240" w:h="15840" w:code="1"/>
      <w:pgMar w:top="1440" w:right="1800" w:bottom="-1260" w:left="1800" w:header="965"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264" w:rsidRDefault="00F57264">
      <w:r>
        <w:separator/>
      </w:r>
    </w:p>
  </w:endnote>
  <w:endnote w:type="continuationSeparator" w:id="0">
    <w:p w:rsidR="00F57264" w:rsidRDefault="00F5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ill Sans MT">
    <w:altName w:val="Century Gothic"/>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24" w:rsidRDefault="00EA29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A2924" w:rsidRDefault="00EA29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24" w:rsidRDefault="00EA2924">
    <w:pPr>
      <w:pStyle w:val="Footer"/>
      <w:jc w:val="right"/>
    </w:pPr>
    <w:r>
      <w:fldChar w:fldCharType="begin"/>
    </w:r>
    <w:r>
      <w:instrText xml:space="preserve"> PAGE   \* MERGEFORMAT </w:instrText>
    </w:r>
    <w:r>
      <w:fldChar w:fldCharType="separate"/>
    </w:r>
    <w:r w:rsidR="00E90DCC">
      <w:rPr>
        <w:noProof/>
      </w:rPr>
      <w:t>18</w:t>
    </w:r>
    <w:r>
      <w:rPr>
        <w:noProof/>
      </w:rPr>
      <w:fldChar w:fldCharType="end"/>
    </w:r>
  </w:p>
  <w:p w:rsidR="00EA2924" w:rsidRDefault="00EA29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264" w:rsidRDefault="00F57264">
      <w:r>
        <w:separator/>
      </w:r>
    </w:p>
  </w:footnote>
  <w:footnote w:type="continuationSeparator" w:id="0">
    <w:p w:rsidR="00F57264" w:rsidRDefault="00F572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0215"/>
    <w:multiLevelType w:val="hybridMultilevel"/>
    <w:tmpl w:val="210052C6"/>
    <w:lvl w:ilvl="0" w:tplc="096E13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046CA1"/>
    <w:multiLevelType w:val="hybridMultilevel"/>
    <w:tmpl w:val="65B8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3">
    <w:nsid w:val="331C01C7"/>
    <w:multiLevelType w:val="hybridMultilevel"/>
    <w:tmpl w:val="A7EE08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04"/>
    <w:rsid w:val="0000093E"/>
    <w:rsid w:val="00001D52"/>
    <w:rsid w:val="000022DB"/>
    <w:rsid w:val="00003BFB"/>
    <w:rsid w:val="000047A3"/>
    <w:rsid w:val="00005D6D"/>
    <w:rsid w:val="000068C8"/>
    <w:rsid w:val="000125F7"/>
    <w:rsid w:val="00013201"/>
    <w:rsid w:val="00013D4E"/>
    <w:rsid w:val="0001606C"/>
    <w:rsid w:val="000163EF"/>
    <w:rsid w:val="000178AF"/>
    <w:rsid w:val="00017F49"/>
    <w:rsid w:val="00021F8F"/>
    <w:rsid w:val="00027151"/>
    <w:rsid w:val="00027AFC"/>
    <w:rsid w:val="00030C21"/>
    <w:rsid w:val="00030E29"/>
    <w:rsid w:val="0003210E"/>
    <w:rsid w:val="000334F5"/>
    <w:rsid w:val="00036D2E"/>
    <w:rsid w:val="00036DE1"/>
    <w:rsid w:val="00040838"/>
    <w:rsid w:val="000419D7"/>
    <w:rsid w:val="0004292E"/>
    <w:rsid w:val="0004462B"/>
    <w:rsid w:val="00046A4E"/>
    <w:rsid w:val="000475DE"/>
    <w:rsid w:val="0004775B"/>
    <w:rsid w:val="00051266"/>
    <w:rsid w:val="000535FF"/>
    <w:rsid w:val="00054FA1"/>
    <w:rsid w:val="00055E13"/>
    <w:rsid w:val="0005624C"/>
    <w:rsid w:val="0005757C"/>
    <w:rsid w:val="00057D56"/>
    <w:rsid w:val="000636AB"/>
    <w:rsid w:val="00063B17"/>
    <w:rsid w:val="00063BC9"/>
    <w:rsid w:val="00065AFA"/>
    <w:rsid w:val="00071ABA"/>
    <w:rsid w:val="00071D59"/>
    <w:rsid w:val="0007245B"/>
    <w:rsid w:val="00073AC9"/>
    <w:rsid w:val="0008185A"/>
    <w:rsid w:val="00081F19"/>
    <w:rsid w:val="00084076"/>
    <w:rsid w:val="0008592E"/>
    <w:rsid w:val="00085AEB"/>
    <w:rsid w:val="0008606D"/>
    <w:rsid w:val="000863AA"/>
    <w:rsid w:val="0008762A"/>
    <w:rsid w:val="00090F3B"/>
    <w:rsid w:val="000914C6"/>
    <w:rsid w:val="000919D0"/>
    <w:rsid w:val="00092008"/>
    <w:rsid w:val="00093BE1"/>
    <w:rsid w:val="000A0F64"/>
    <w:rsid w:val="000A1AF0"/>
    <w:rsid w:val="000A249D"/>
    <w:rsid w:val="000A26FE"/>
    <w:rsid w:val="000A40B9"/>
    <w:rsid w:val="000A79BF"/>
    <w:rsid w:val="000A7A09"/>
    <w:rsid w:val="000B0327"/>
    <w:rsid w:val="000B0464"/>
    <w:rsid w:val="000B18D5"/>
    <w:rsid w:val="000B39C0"/>
    <w:rsid w:val="000B49B7"/>
    <w:rsid w:val="000B517A"/>
    <w:rsid w:val="000C1DCB"/>
    <w:rsid w:val="000C2810"/>
    <w:rsid w:val="000C31F8"/>
    <w:rsid w:val="000C54A1"/>
    <w:rsid w:val="000C5DC8"/>
    <w:rsid w:val="000C7F17"/>
    <w:rsid w:val="000D1B72"/>
    <w:rsid w:val="000D1D92"/>
    <w:rsid w:val="000D395C"/>
    <w:rsid w:val="000D7279"/>
    <w:rsid w:val="000E08A3"/>
    <w:rsid w:val="000E1339"/>
    <w:rsid w:val="000E4478"/>
    <w:rsid w:val="000F134F"/>
    <w:rsid w:val="000F1824"/>
    <w:rsid w:val="000F2B84"/>
    <w:rsid w:val="000F437D"/>
    <w:rsid w:val="000F57E0"/>
    <w:rsid w:val="001013B6"/>
    <w:rsid w:val="001016E2"/>
    <w:rsid w:val="001062FF"/>
    <w:rsid w:val="0010671E"/>
    <w:rsid w:val="00107E90"/>
    <w:rsid w:val="00110B9A"/>
    <w:rsid w:val="00112385"/>
    <w:rsid w:val="0011555D"/>
    <w:rsid w:val="00116792"/>
    <w:rsid w:val="00117C5B"/>
    <w:rsid w:val="00120539"/>
    <w:rsid w:val="00121E2A"/>
    <w:rsid w:val="00131BA1"/>
    <w:rsid w:val="00131C98"/>
    <w:rsid w:val="00131E12"/>
    <w:rsid w:val="00133D3D"/>
    <w:rsid w:val="00140C35"/>
    <w:rsid w:val="00144200"/>
    <w:rsid w:val="0014508C"/>
    <w:rsid w:val="00145C46"/>
    <w:rsid w:val="001503D4"/>
    <w:rsid w:val="00151523"/>
    <w:rsid w:val="00151ED0"/>
    <w:rsid w:val="0015580C"/>
    <w:rsid w:val="00164DDC"/>
    <w:rsid w:val="00165F29"/>
    <w:rsid w:val="00173C0B"/>
    <w:rsid w:val="00174D60"/>
    <w:rsid w:val="001755E1"/>
    <w:rsid w:val="00187561"/>
    <w:rsid w:val="001875F7"/>
    <w:rsid w:val="00187884"/>
    <w:rsid w:val="00191D80"/>
    <w:rsid w:val="001945AA"/>
    <w:rsid w:val="001950FB"/>
    <w:rsid w:val="001A02E6"/>
    <w:rsid w:val="001A7140"/>
    <w:rsid w:val="001A7ED0"/>
    <w:rsid w:val="001B00D5"/>
    <w:rsid w:val="001B0CB5"/>
    <w:rsid w:val="001B2FC0"/>
    <w:rsid w:val="001B317F"/>
    <w:rsid w:val="001B5450"/>
    <w:rsid w:val="001B69E0"/>
    <w:rsid w:val="001C12E6"/>
    <w:rsid w:val="001C2AD2"/>
    <w:rsid w:val="001C3719"/>
    <w:rsid w:val="001C5BED"/>
    <w:rsid w:val="001C5E42"/>
    <w:rsid w:val="001C6DA2"/>
    <w:rsid w:val="001C6E86"/>
    <w:rsid w:val="001C706D"/>
    <w:rsid w:val="001D0F15"/>
    <w:rsid w:val="001D6133"/>
    <w:rsid w:val="001E0097"/>
    <w:rsid w:val="001E2970"/>
    <w:rsid w:val="001E2C9E"/>
    <w:rsid w:val="001E57D1"/>
    <w:rsid w:val="001F37BA"/>
    <w:rsid w:val="001F389C"/>
    <w:rsid w:val="001F3C55"/>
    <w:rsid w:val="001F4C71"/>
    <w:rsid w:val="001F54F3"/>
    <w:rsid w:val="001F614C"/>
    <w:rsid w:val="001F67DB"/>
    <w:rsid w:val="001F6935"/>
    <w:rsid w:val="001F7933"/>
    <w:rsid w:val="002006D6"/>
    <w:rsid w:val="0020241D"/>
    <w:rsid w:val="00202888"/>
    <w:rsid w:val="00204327"/>
    <w:rsid w:val="002104DD"/>
    <w:rsid w:val="00210DF6"/>
    <w:rsid w:val="002117FC"/>
    <w:rsid w:val="00214C9C"/>
    <w:rsid w:val="0021690C"/>
    <w:rsid w:val="0021782E"/>
    <w:rsid w:val="00220A26"/>
    <w:rsid w:val="002213D7"/>
    <w:rsid w:val="0022175D"/>
    <w:rsid w:val="00221E4D"/>
    <w:rsid w:val="00223E7D"/>
    <w:rsid w:val="00224356"/>
    <w:rsid w:val="00225148"/>
    <w:rsid w:val="002269DE"/>
    <w:rsid w:val="00226FA2"/>
    <w:rsid w:val="00227270"/>
    <w:rsid w:val="00227344"/>
    <w:rsid w:val="002311B1"/>
    <w:rsid w:val="00233366"/>
    <w:rsid w:val="002348D7"/>
    <w:rsid w:val="00235519"/>
    <w:rsid w:val="00235BAF"/>
    <w:rsid w:val="002375ED"/>
    <w:rsid w:val="002416B3"/>
    <w:rsid w:val="0024240C"/>
    <w:rsid w:val="00243594"/>
    <w:rsid w:val="00243DF5"/>
    <w:rsid w:val="00245A73"/>
    <w:rsid w:val="00247B53"/>
    <w:rsid w:val="0025072B"/>
    <w:rsid w:val="00250849"/>
    <w:rsid w:val="00250F8D"/>
    <w:rsid w:val="00251CDB"/>
    <w:rsid w:val="0025354D"/>
    <w:rsid w:val="002543EB"/>
    <w:rsid w:val="00256145"/>
    <w:rsid w:val="0026239D"/>
    <w:rsid w:val="0026252F"/>
    <w:rsid w:val="0026425F"/>
    <w:rsid w:val="002642CD"/>
    <w:rsid w:val="00264FC5"/>
    <w:rsid w:val="00265AF7"/>
    <w:rsid w:val="002667C9"/>
    <w:rsid w:val="0027085D"/>
    <w:rsid w:val="002726C7"/>
    <w:rsid w:val="00274C8D"/>
    <w:rsid w:val="00276E60"/>
    <w:rsid w:val="00281EB0"/>
    <w:rsid w:val="002827EE"/>
    <w:rsid w:val="00282CEE"/>
    <w:rsid w:val="00283887"/>
    <w:rsid w:val="00285043"/>
    <w:rsid w:val="002909F4"/>
    <w:rsid w:val="0029258C"/>
    <w:rsid w:val="002949F0"/>
    <w:rsid w:val="0029521E"/>
    <w:rsid w:val="00295F4A"/>
    <w:rsid w:val="002A0519"/>
    <w:rsid w:val="002A182F"/>
    <w:rsid w:val="002A391C"/>
    <w:rsid w:val="002A3EB4"/>
    <w:rsid w:val="002A5561"/>
    <w:rsid w:val="002A5957"/>
    <w:rsid w:val="002A7704"/>
    <w:rsid w:val="002B0BF5"/>
    <w:rsid w:val="002B0DD1"/>
    <w:rsid w:val="002B192D"/>
    <w:rsid w:val="002B22FC"/>
    <w:rsid w:val="002B2474"/>
    <w:rsid w:val="002B25C6"/>
    <w:rsid w:val="002B4AD8"/>
    <w:rsid w:val="002B765A"/>
    <w:rsid w:val="002B7936"/>
    <w:rsid w:val="002C1618"/>
    <w:rsid w:val="002C1C74"/>
    <w:rsid w:val="002C45B1"/>
    <w:rsid w:val="002C55B8"/>
    <w:rsid w:val="002C62FD"/>
    <w:rsid w:val="002D1FA4"/>
    <w:rsid w:val="002D23A6"/>
    <w:rsid w:val="002D2652"/>
    <w:rsid w:val="002D336A"/>
    <w:rsid w:val="002D38B9"/>
    <w:rsid w:val="002D5D81"/>
    <w:rsid w:val="002D7069"/>
    <w:rsid w:val="002E0E79"/>
    <w:rsid w:val="002E1774"/>
    <w:rsid w:val="002E1A19"/>
    <w:rsid w:val="002E2276"/>
    <w:rsid w:val="002E3CD0"/>
    <w:rsid w:val="002E4EF2"/>
    <w:rsid w:val="002E6894"/>
    <w:rsid w:val="002F01B8"/>
    <w:rsid w:val="002F0820"/>
    <w:rsid w:val="002F08EF"/>
    <w:rsid w:val="002F3025"/>
    <w:rsid w:val="002F58DF"/>
    <w:rsid w:val="00302C9D"/>
    <w:rsid w:val="00302F59"/>
    <w:rsid w:val="00303322"/>
    <w:rsid w:val="00303790"/>
    <w:rsid w:val="00305CFC"/>
    <w:rsid w:val="0031092C"/>
    <w:rsid w:val="00312CB1"/>
    <w:rsid w:val="00312EE8"/>
    <w:rsid w:val="00313479"/>
    <w:rsid w:val="00314E06"/>
    <w:rsid w:val="00317BA4"/>
    <w:rsid w:val="00317C02"/>
    <w:rsid w:val="00320D83"/>
    <w:rsid w:val="003210AF"/>
    <w:rsid w:val="0032187C"/>
    <w:rsid w:val="00326853"/>
    <w:rsid w:val="00330511"/>
    <w:rsid w:val="003307A8"/>
    <w:rsid w:val="00331FF1"/>
    <w:rsid w:val="00333C36"/>
    <w:rsid w:val="00334CAB"/>
    <w:rsid w:val="0033711A"/>
    <w:rsid w:val="00337955"/>
    <w:rsid w:val="0034099E"/>
    <w:rsid w:val="0034408C"/>
    <w:rsid w:val="00344460"/>
    <w:rsid w:val="00345090"/>
    <w:rsid w:val="00347783"/>
    <w:rsid w:val="003509A3"/>
    <w:rsid w:val="003516FD"/>
    <w:rsid w:val="003521AF"/>
    <w:rsid w:val="003526BC"/>
    <w:rsid w:val="0035459F"/>
    <w:rsid w:val="003555EA"/>
    <w:rsid w:val="0035590A"/>
    <w:rsid w:val="0035593E"/>
    <w:rsid w:val="00355DCD"/>
    <w:rsid w:val="003646F3"/>
    <w:rsid w:val="003649B0"/>
    <w:rsid w:val="00366078"/>
    <w:rsid w:val="003677ED"/>
    <w:rsid w:val="003704C0"/>
    <w:rsid w:val="00372AB0"/>
    <w:rsid w:val="00373D9C"/>
    <w:rsid w:val="00374336"/>
    <w:rsid w:val="00377635"/>
    <w:rsid w:val="00377E20"/>
    <w:rsid w:val="00377E5A"/>
    <w:rsid w:val="00380DBC"/>
    <w:rsid w:val="003814DE"/>
    <w:rsid w:val="00384885"/>
    <w:rsid w:val="00384E25"/>
    <w:rsid w:val="003869AA"/>
    <w:rsid w:val="003909AB"/>
    <w:rsid w:val="003916F7"/>
    <w:rsid w:val="003924E2"/>
    <w:rsid w:val="003928EA"/>
    <w:rsid w:val="0039379E"/>
    <w:rsid w:val="00394C57"/>
    <w:rsid w:val="0039790C"/>
    <w:rsid w:val="003979D4"/>
    <w:rsid w:val="003A37D9"/>
    <w:rsid w:val="003A3C13"/>
    <w:rsid w:val="003A3D77"/>
    <w:rsid w:val="003A461B"/>
    <w:rsid w:val="003A57C1"/>
    <w:rsid w:val="003A6C55"/>
    <w:rsid w:val="003A6E97"/>
    <w:rsid w:val="003B0CE5"/>
    <w:rsid w:val="003B6026"/>
    <w:rsid w:val="003B689C"/>
    <w:rsid w:val="003C39A2"/>
    <w:rsid w:val="003C4CF1"/>
    <w:rsid w:val="003C5060"/>
    <w:rsid w:val="003C528F"/>
    <w:rsid w:val="003D0A91"/>
    <w:rsid w:val="003D0B3F"/>
    <w:rsid w:val="003D2422"/>
    <w:rsid w:val="003D2595"/>
    <w:rsid w:val="003D297C"/>
    <w:rsid w:val="003D3AB9"/>
    <w:rsid w:val="003D5087"/>
    <w:rsid w:val="003D55E8"/>
    <w:rsid w:val="003D5650"/>
    <w:rsid w:val="003D5CF8"/>
    <w:rsid w:val="003E0443"/>
    <w:rsid w:val="003E24FD"/>
    <w:rsid w:val="003E355E"/>
    <w:rsid w:val="003E49EF"/>
    <w:rsid w:val="003E763C"/>
    <w:rsid w:val="003F022B"/>
    <w:rsid w:val="003F55C1"/>
    <w:rsid w:val="003F5711"/>
    <w:rsid w:val="003F5D5B"/>
    <w:rsid w:val="00400104"/>
    <w:rsid w:val="0040012E"/>
    <w:rsid w:val="00400CA2"/>
    <w:rsid w:val="00401646"/>
    <w:rsid w:val="00401AC7"/>
    <w:rsid w:val="00402776"/>
    <w:rsid w:val="00402FC3"/>
    <w:rsid w:val="00404EED"/>
    <w:rsid w:val="00407C4C"/>
    <w:rsid w:val="00410063"/>
    <w:rsid w:val="00414F59"/>
    <w:rsid w:val="00415365"/>
    <w:rsid w:val="00415378"/>
    <w:rsid w:val="004168D9"/>
    <w:rsid w:val="004216CF"/>
    <w:rsid w:val="00425A93"/>
    <w:rsid w:val="00430F09"/>
    <w:rsid w:val="00431758"/>
    <w:rsid w:val="004334EE"/>
    <w:rsid w:val="00434F66"/>
    <w:rsid w:val="004379CF"/>
    <w:rsid w:val="004438D3"/>
    <w:rsid w:val="00444D5A"/>
    <w:rsid w:val="0044510A"/>
    <w:rsid w:val="00450644"/>
    <w:rsid w:val="00451C51"/>
    <w:rsid w:val="00452A1F"/>
    <w:rsid w:val="004534FA"/>
    <w:rsid w:val="004541CE"/>
    <w:rsid w:val="004550EC"/>
    <w:rsid w:val="0045599B"/>
    <w:rsid w:val="00455C20"/>
    <w:rsid w:val="004606BD"/>
    <w:rsid w:val="00460EE5"/>
    <w:rsid w:val="00462592"/>
    <w:rsid w:val="00463B22"/>
    <w:rsid w:val="00464450"/>
    <w:rsid w:val="004662FE"/>
    <w:rsid w:val="004675AB"/>
    <w:rsid w:val="00470537"/>
    <w:rsid w:val="00471787"/>
    <w:rsid w:val="00472ABD"/>
    <w:rsid w:val="00472D16"/>
    <w:rsid w:val="00473076"/>
    <w:rsid w:val="00473413"/>
    <w:rsid w:val="004737E3"/>
    <w:rsid w:val="00473921"/>
    <w:rsid w:val="004747AA"/>
    <w:rsid w:val="0047487C"/>
    <w:rsid w:val="00475079"/>
    <w:rsid w:val="00475155"/>
    <w:rsid w:val="00477B17"/>
    <w:rsid w:val="00480293"/>
    <w:rsid w:val="004832B0"/>
    <w:rsid w:val="00483FF7"/>
    <w:rsid w:val="004853F3"/>
    <w:rsid w:val="00485A7A"/>
    <w:rsid w:val="00487168"/>
    <w:rsid w:val="004936C9"/>
    <w:rsid w:val="00495F28"/>
    <w:rsid w:val="0049799A"/>
    <w:rsid w:val="004A05A6"/>
    <w:rsid w:val="004A2A3B"/>
    <w:rsid w:val="004A338D"/>
    <w:rsid w:val="004B1793"/>
    <w:rsid w:val="004B1F7B"/>
    <w:rsid w:val="004B43F2"/>
    <w:rsid w:val="004B59CB"/>
    <w:rsid w:val="004C0693"/>
    <w:rsid w:val="004C13E8"/>
    <w:rsid w:val="004C1BCF"/>
    <w:rsid w:val="004C38C1"/>
    <w:rsid w:val="004C3B50"/>
    <w:rsid w:val="004C594A"/>
    <w:rsid w:val="004C7A4E"/>
    <w:rsid w:val="004D07E7"/>
    <w:rsid w:val="004D388B"/>
    <w:rsid w:val="004D4B72"/>
    <w:rsid w:val="004D4E01"/>
    <w:rsid w:val="004E15BC"/>
    <w:rsid w:val="004E5626"/>
    <w:rsid w:val="004E6023"/>
    <w:rsid w:val="004E7D1D"/>
    <w:rsid w:val="004F3E48"/>
    <w:rsid w:val="004F40EA"/>
    <w:rsid w:val="004F5EB2"/>
    <w:rsid w:val="00503EC0"/>
    <w:rsid w:val="00503ECF"/>
    <w:rsid w:val="005040BF"/>
    <w:rsid w:val="00504A1F"/>
    <w:rsid w:val="005057D4"/>
    <w:rsid w:val="00506A85"/>
    <w:rsid w:val="00507C1E"/>
    <w:rsid w:val="005155CF"/>
    <w:rsid w:val="00515CE6"/>
    <w:rsid w:val="005170E5"/>
    <w:rsid w:val="0051739E"/>
    <w:rsid w:val="005179B2"/>
    <w:rsid w:val="00523A3F"/>
    <w:rsid w:val="00525721"/>
    <w:rsid w:val="00527473"/>
    <w:rsid w:val="00527813"/>
    <w:rsid w:val="00534BB2"/>
    <w:rsid w:val="00535766"/>
    <w:rsid w:val="00540254"/>
    <w:rsid w:val="00540B72"/>
    <w:rsid w:val="00540D03"/>
    <w:rsid w:val="005418EA"/>
    <w:rsid w:val="00541CB4"/>
    <w:rsid w:val="005428F4"/>
    <w:rsid w:val="00546188"/>
    <w:rsid w:val="00547244"/>
    <w:rsid w:val="00554E44"/>
    <w:rsid w:val="00560296"/>
    <w:rsid w:val="00562A5A"/>
    <w:rsid w:val="00563560"/>
    <w:rsid w:val="00564F1E"/>
    <w:rsid w:val="00566742"/>
    <w:rsid w:val="0056779F"/>
    <w:rsid w:val="00567FB5"/>
    <w:rsid w:val="005714BD"/>
    <w:rsid w:val="005714E7"/>
    <w:rsid w:val="0057493D"/>
    <w:rsid w:val="00575945"/>
    <w:rsid w:val="005768BC"/>
    <w:rsid w:val="00577821"/>
    <w:rsid w:val="005801DB"/>
    <w:rsid w:val="00581680"/>
    <w:rsid w:val="00582436"/>
    <w:rsid w:val="00583D39"/>
    <w:rsid w:val="0058442D"/>
    <w:rsid w:val="00586B5C"/>
    <w:rsid w:val="00587440"/>
    <w:rsid w:val="00587615"/>
    <w:rsid w:val="005905ED"/>
    <w:rsid w:val="0059116B"/>
    <w:rsid w:val="005915B7"/>
    <w:rsid w:val="005947AF"/>
    <w:rsid w:val="005A04E7"/>
    <w:rsid w:val="005A178F"/>
    <w:rsid w:val="005A19B2"/>
    <w:rsid w:val="005A36CE"/>
    <w:rsid w:val="005A43C8"/>
    <w:rsid w:val="005A5D21"/>
    <w:rsid w:val="005A793F"/>
    <w:rsid w:val="005A7DA8"/>
    <w:rsid w:val="005B1C70"/>
    <w:rsid w:val="005B28B3"/>
    <w:rsid w:val="005C0105"/>
    <w:rsid w:val="005C06F2"/>
    <w:rsid w:val="005C0707"/>
    <w:rsid w:val="005C46B5"/>
    <w:rsid w:val="005C6554"/>
    <w:rsid w:val="005D064C"/>
    <w:rsid w:val="005D1209"/>
    <w:rsid w:val="005D2E10"/>
    <w:rsid w:val="005D2F97"/>
    <w:rsid w:val="005D3C1D"/>
    <w:rsid w:val="005D5A24"/>
    <w:rsid w:val="005D5BB8"/>
    <w:rsid w:val="005D6036"/>
    <w:rsid w:val="005E1D3C"/>
    <w:rsid w:val="005E30D8"/>
    <w:rsid w:val="005E56D9"/>
    <w:rsid w:val="005F04DD"/>
    <w:rsid w:val="005F2AEA"/>
    <w:rsid w:val="005F5427"/>
    <w:rsid w:val="005F78D8"/>
    <w:rsid w:val="005F7D08"/>
    <w:rsid w:val="0060433B"/>
    <w:rsid w:val="00607CAF"/>
    <w:rsid w:val="00610A08"/>
    <w:rsid w:val="00610CA3"/>
    <w:rsid w:val="006121C9"/>
    <w:rsid w:val="0061321D"/>
    <w:rsid w:val="00613CDE"/>
    <w:rsid w:val="00613F0E"/>
    <w:rsid w:val="00614354"/>
    <w:rsid w:val="00615898"/>
    <w:rsid w:val="00617798"/>
    <w:rsid w:val="006214B1"/>
    <w:rsid w:val="006222D7"/>
    <w:rsid w:val="0062260B"/>
    <w:rsid w:val="00623E84"/>
    <w:rsid w:val="00623F19"/>
    <w:rsid w:val="00623F7E"/>
    <w:rsid w:val="00624561"/>
    <w:rsid w:val="00624F88"/>
    <w:rsid w:val="00631367"/>
    <w:rsid w:val="00632C1C"/>
    <w:rsid w:val="00633848"/>
    <w:rsid w:val="006374A1"/>
    <w:rsid w:val="00641897"/>
    <w:rsid w:val="006436C8"/>
    <w:rsid w:val="00655A9C"/>
    <w:rsid w:val="00662B10"/>
    <w:rsid w:val="00670B10"/>
    <w:rsid w:val="00670FEA"/>
    <w:rsid w:val="0067141A"/>
    <w:rsid w:val="00671A29"/>
    <w:rsid w:val="00676FEE"/>
    <w:rsid w:val="00677727"/>
    <w:rsid w:val="0068121F"/>
    <w:rsid w:val="00682F8A"/>
    <w:rsid w:val="00691FDD"/>
    <w:rsid w:val="00693048"/>
    <w:rsid w:val="006947BF"/>
    <w:rsid w:val="0069603A"/>
    <w:rsid w:val="00696752"/>
    <w:rsid w:val="00696BE9"/>
    <w:rsid w:val="00697200"/>
    <w:rsid w:val="006977C0"/>
    <w:rsid w:val="006A06BE"/>
    <w:rsid w:val="006A2E94"/>
    <w:rsid w:val="006A4B31"/>
    <w:rsid w:val="006A5273"/>
    <w:rsid w:val="006A5A59"/>
    <w:rsid w:val="006A7A6D"/>
    <w:rsid w:val="006B178D"/>
    <w:rsid w:val="006B1879"/>
    <w:rsid w:val="006B5266"/>
    <w:rsid w:val="006B7DCD"/>
    <w:rsid w:val="006C0D7C"/>
    <w:rsid w:val="006C2907"/>
    <w:rsid w:val="006C428E"/>
    <w:rsid w:val="006C4B70"/>
    <w:rsid w:val="006C5DCF"/>
    <w:rsid w:val="006C6075"/>
    <w:rsid w:val="006C6B58"/>
    <w:rsid w:val="006C6F44"/>
    <w:rsid w:val="006C763E"/>
    <w:rsid w:val="006D2475"/>
    <w:rsid w:val="006D3338"/>
    <w:rsid w:val="006D3F5A"/>
    <w:rsid w:val="006E1381"/>
    <w:rsid w:val="006E5B3A"/>
    <w:rsid w:val="006E7487"/>
    <w:rsid w:val="006F20BA"/>
    <w:rsid w:val="006F5FE5"/>
    <w:rsid w:val="006F7257"/>
    <w:rsid w:val="00700082"/>
    <w:rsid w:val="00700EBE"/>
    <w:rsid w:val="00702C90"/>
    <w:rsid w:val="007031F8"/>
    <w:rsid w:val="00703CEC"/>
    <w:rsid w:val="007043A1"/>
    <w:rsid w:val="00704700"/>
    <w:rsid w:val="007115BC"/>
    <w:rsid w:val="00715241"/>
    <w:rsid w:val="00720799"/>
    <w:rsid w:val="00720BA2"/>
    <w:rsid w:val="00721B86"/>
    <w:rsid w:val="00722749"/>
    <w:rsid w:val="00724315"/>
    <w:rsid w:val="007254A6"/>
    <w:rsid w:val="00730232"/>
    <w:rsid w:val="00732FF9"/>
    <w:rsid w:val="00734EF8"/>
    <w:rsid w:val="007356D0"/>
    <w:rsid w:val="0073620D"/>
    <w:rsid w:val="00740C80"/>
    <w:rsid w:val="00742F7D"/>
    <w:rsid w:val="00744C38"/>
    <w:rsid w:val="007464FB"/>
    <w:rsid w:val="0074730E"/>
    <w:rsid w:val="00751232"/>
    <w:rsid w:val="00753215"/>
    <w:rsid w:val="00753B07"/>
    <w:rsid w:val="007568C9"/>
    <w:rsid w:val="0076230A"/>
    <w:rsid w:val="007651AC"/>
    <w:rsid w:val="00767DAC"/>
    <w:rsid w:val="00774B23"/>
    <w:rsid w:val="00776F66"/>
    <w:rsid w:val="00777A48"/>
    <w:rsid w:val="00777B5A"/>
    <w:rsid w:val="00777D57"/>
    <w:rsid w:val="00780C33"/>
    <w:rsid w:val="00780F90"/>
    <w:rsid w:val="00782D78"/>
    <w:rsid w:val="00784414"/>
    <w:rsid w:val="00785DE9"/>
    <w:rsid w:val="00792230"/>
    <w:rsid w:val="00794364"/>
    <w:rsid w:val="00796ABC"/>
    <w:rsid w:val="007A02D3"/>
    <w:rsid w:val="007A06EA"/>
    <w:rsid w:val="007A41D2"/>
    <w:rsid w:val="007A5EC8"/>
    <w:rsid w:val="007B121A"/>
    <w:rsid w:val="007B2462"/>
    <w:rsid w:val="007B4208"/>
    <w:rsid w:val="007C0FB6"/>
    <w:rsid w:val="007C2B65"/>
    <w:rsid w:val="007C5681"/>
    <w:rsid w:val="007C5A0E"/>
    <w:rsid w:val="007C67FF"/>
    <w:rsid w:val="007C6CA6"/>
    <w:rsid w:val="007C79E2"/>
    <w:rsid w:val="007C7DD2"/>
    <w:rsid w:val="007D09E0"/>
    <w:rsid w:val="007D1496"/>
    <w:rsid w:val="007D2453"/>
    <w:rsid w:val="007D2A2B"/>
    <w:rsid w:val="007D2D6A"/>
    <w:rsid w:val="007D33B2"/>
    <w:rsid w:val="007D39FA"/>
    <w:rsid w:val="007D5AF5"/>
    <w:rsid w:val="007D6591"/>
    <w:rsid w:val="007D6AE2"/>
    <w:rsid w:val="007E03F1"/>
    <w:rsid w:val="007E2C1C"/>
    <w:rsid w:val="007E3383"/>
    <w:rsid w:val="007E35AA"/>
    <w:rsid w:val="007E4F51"/>
    <w:rsid w:val="007E54FE"/>
    <w:rsid w:val="007F1D34"/>
    <w:rsid w:val="007F319D"/>
    <w:rsid w:val="007F361D"/>
    <w:rsid w:val="007F66F6"/>
    <w:rsid w:val="007F7DF1"/>
    <w:rsid w:val="00800330"/>
    <w:rsid w:val="00800810"/>
    <w:rsid w:val="00801611"/>
    <w:rsid w:val="00810241"/>
    <w:rsid w:val="008138BA"/>
    <w:rsid w:val="00814EC0"/>
    <w:rsid w:val="00815147"/>
    <w:rsid w:val="008201CF"/>
    <w:rsid w:val="008203A8"/>
    <w:rsid w:val="00820C58"/>
    <w:rsid w:val="00820F99"/>
    <w:rsid w:val="00822121"/>
    <w:rsid w:val="00825FFE"/>
    <w:rsid w:val="008337B3"/>
    <w:rsid w:val="00834261"/>
    <w:rsid w:val="00836CD7"/>
    <w:rsid w:val="00836F25"/>
    <w:rsid w:val="00837437"/>
    <w:rsid w:val="00842C83"/>
    <w:rsid w:val="008437C7"/>
    <w:rsid w:val="00844AD0"/>
    <w:rsid w:val="00845105"/>
    <w:rsid w:val="00846A69"/>
    <w:rsid w:val="00851A87"/>
    <w:rsid w:val="00855183"/>
    <w:rsid w:val="008606E0"/>
    <w:rsid w:val="00860C5D"/>
    <w:rsid w:val="008614BA"/>
    <w:rsid w:val="00865CC7"/>
    <w:rsid w:val="0087080D"/>
    <w:rsid w:val="008714C4"/>
    <w:rsid w:val="00871F50"/>
    <w:rsid w:val="00874F54"/>
    <w:rsid w:val="00875198"/>
    <w:rsid w:val="00875DEB"/>
    <w:rsid w:val="00883FA9"/>
    <w:rsid w:val="00890E6F"/>
    <w:rsid w:val="0089288B"/>
    <w:rsid w:val="008931A6"/>
    <w:rsid w:val="00893701"/>
    <w:rsid w:val="008951BC"/>
    <w:rsid w:val="0089656C"/>
    <w:rsid w:val="00896DD0"/>
    <w:rsid w:val="008A1104"/>
    <w:rsid w:val="008A34A7"/>
    <w:rsid w:val="008A6E76"/>
    <w:rsid w:val="008A7C56"/>
    <w:rsid w:val="008B0360"/>
    <w:rsid w:val="008B1DD1"/>
    <w:rsid w:val="008B4202"/>
    <w:rsid w:val="008B514D"/>
    <w:rsid w:val="008B6968"/>
    <w:rsid w:val="008C5D2D"/>
    <w:rsid w:val="008C6B2F"/>
    <w:rsid w:val="008D0444"/>
    <w:rsid w:val="008D0B04"/>
    <w:rsid w:val="008D17A1"/>
    <w:rsid w:val="008D1F40"/>
    <w:rsid w:val="008D359A"/>
    <w:rsid w:val="008D44B1"/>
    <w:rsid w:val="008D457D"/>
    <w:rsid w:val="008D725F"/>
    <w:rsid w:val="008E0F6C"/>
    <w:rsid w:val="008E454B"/>
    <w:rsid w:val="008E571F"/>
    <w:rsid w:val="008F0B9A"/>
    <w:rsid w:val="008F4224"/>
    <w:rsid w:val="0090056F"/>
    <w:rsid w:val="00901D4E"/>
    <w:rsid w:val="00902028"/>
    <w:rsid w:val="009053A2"/>
    <w:rsid w:val="009065FC"/>
    <w:rsid w:val="009100AF"/>
    <w:rsid w:val="00910CFB"/>
    <w:rsid w:val="009110AA"/>
    <w:rsid w:val="009115D1"/>
    <w:rsid w:val="00913F0F"/>
    <w:rsid w:val="00915DFF"/>
    <w:rsid w:val="00917506"/>
    <w:rsid w:val="009207FA"/>
    <w:rsid w:val="009219FD"/>
    <w:rsid w:val="00922568"/>
    <w:rsid w:val="009233B4"/>
    <w:rsid w:val="009267BC"/>
    <w:rsid w:val="009272D3"/>
    <w:rsid w:val="009272ED"/>
    <w:rsid w:val="00932CAD"/>
    <w:rsid w:val="00933829"/>
    <w:rsid w:val="00935B3B"/>
    <w:rsid w:val="00937913"/>
    <w:rsid w:val="0095137A"/>
    <w:rsid w:val="00953B20"/>
    <w:rsid w:val="0096194C"/>
    <w:rsid w:val="00961A3B"/>
    <w:rsid w:val="00961DC1"/>
    <w:rsid w:val="00963E7F"/>
    <w:rsid w:val="009667AD"/>
    <w:rsid w:val="009701EB"/>
    <w:rsid w:val="00971AD4"/>
    <w:rsid w:val="0097278F"/>
    <w:rsid w:val="00973741"/>
    <w:rsid w:val="00975BC1"/>
    <w:rsid w:val="00975CCE"/>
    <w:rsid w:val="009767A4"/>
    <w:rsid w:val="0097764F"/>
    <w:rsid w:val="009816ED"/>
    <w:rsid w:val="00986C01"/>
    <w:rsid w:val="00991632"/>
    <w:rsid w:val="00991822"/>
    <w:rsid w:val="00992800"/>
    <w:rsid w:val="00992DB4"/>
    <w:rsid w:val="00993515"/>
    <w:rsid w:val="00994744"/>
    <w:rsid w:val="00994FFC"/>
    <w:rsid w:val="00995361"/>
    <w:rsid w:val="00996813"/>
    <w:rsid w:val="009A08D5"/>
    <w:rsid w:val="009A52F9"/>
    <w:rsid w:val="009A5C7B"/>
    <w:rsid w:val="009A6E4F"/>
    <w:rsid w:val="009B1366"/>
    <w:rsid w:val="009B194C"/>
    <w:rsid w:val="009B2AAA"/>
    <w:rsid w:val="009B324A"/>
    <w:rsid w:val="009B3931"/>
    <w:rsid w:val="009B4685"/>
    <w:rsid w:val="009B4ECF"/>
    <w:rsid w:val="009B699B"/>
    <w:rsid w:val="009C0437"/>
    <w:rsid w:val="009C1171"/>
    <w:rsid w:val="009C2222"/>
    <w:rsid w:val="009C3988"/>
    <w:rsid w:val="009C4F96"/>
    <w:rsid w:val="009D49B7"/>
    <w:rsid w:val="009D743C"/>
    <w:rsid w:val="009D7C6E"/>
    <w:rsid w:val="009E0AB7"/>
    <w:rsid w:val="009E16BD"/>
    <w:rsid w:val="009E735E"/>
    <w:rsid w:val="009F32B6"/>
    <w:rsid w:val="009F461D"/>
    <w:rsid w:val="009F5B7F"/>
    <w:rsid w:val="009F61C0"/>
    <w:rsid w:val="00A13DE1"/>
    <w:rsid w:val="00A14180"/>
    <w:rsid w:val="00A15AFB"/>
    <w:rsid w:val="00A17603"/>
    <w:rsid w:val="00A17A39"/>
    <w:rsid w:val="00A17FDC"/>
    <w:rsid w:val="00A224A7"/>
    <w:rsid w:val="00A234D3"/>
    <w:rsid w:val="00A2699E"/>
    <w:rsid w:val="00A307AA"/>
    <w:rsid w:val="00A3204E"/>
    <w:rsid w:val="00A34D98"/>
    <w:rsid w:val="00A3551B"/>
    <w:rsid w:val="00A35F1A"/>
    <w:rsid w:val="00A36880"/>
    <w:rsid w:val="00A3744D"/>
    <w:rsid w:val="00A40442"/>
    <w:rsid w:val="00A41157"/>
    <w:rsid w:val="00A4211B"/>
    <w:rsid w:val="00A43D86"/>
    <w:rsid w:val="00A4693E"/>
    <w:rsid w:val="00A503B4"/>
    <w:rsid w:val="00A51D00"/>
    <w:rsid w:val="00A531CF"/>
    <w:rsid w:val="00A54DBE"/>
    <w:rsid w:val="00A602EA"/>
    <w:rsid w:val="00A61A1C"/>
    <w:rsid w:val="00A61AFE"/>
    <w:rsid w:val="00A621AA"/>
    <w:rsid w:val="00A62F6D"/>
    <w:rsid w:val="00A637B2"/>
    <w:rsid w:val="00A6532B"/>
    <w:rsid w:val="00A72022"/>
    <w:rsid w:val="00A75735"/>
    <w:rsid w:val="00A76F96"/>
    <w:rsid w:val="00A76FEA"/>
    <w:rsid w:val="00A83AA7"/>
    <w:rsid w:val="00A87E23"/>
    <w:rsid w:val="00A90934"/>
    <w:rsid w:val="00A92004"/>
    <w:rsid w:val="00A9455E"/>
    <w:rsid w:val="00AA0616"/>
    <w:rsid w:val="00AA0FCB"/>
    <w:rsid w:val="00AA12EF"/>
    <w:rsid w:val="00AA208D"/>
    <w:rsid w:val="00AA21C4"/>
    <w:rsid w:val="00AA2FB0"/>
    <w:rsid w:val="00AA4ED9"/>
    <w:rsid w:val="00AA54D4"/>
    <w:rsid w:val="00AA73F1"/>
    <w:rsid w:val="00AB48A1"/>
    <w:rsid w:val="00AB574E"/>
    <w:rsid w:val="00AB6428"/>
    <w:rsid w:val="00AC26EB"/>
    <w:rsid w:val="00AC4C62"/>
    <w:rsid w:val="00AC6C5A"/>
    <w:rsid w:val="00AC6DB9"/>
    <w:rsid w:val="00AD2ABC"/>
    <w:rsid w:val="00AD6F38"/>
    <w:rsid w:val="00AD7C9D"/>
    <w:rsid w:val="00AE4FCD"/>
    <w:rsid w:val="00AE551F"/>
    <w:rsid w:val="00AE7DB1"/>
    <w:rsid w:val="00AF1327"/>
    <w:rsid w:val="00AF18F7"/>
    <w:rsid w:val="00AF19DC"/>
    <w:rsid w:val="00AF273D"/>
    <w:rsid w:val="00AF2EBD"/>
    <w:rsid w:val="00AF43E3"/>
    <w:rsid w:val="00AF60F3"/>
    <w:rsid w:val="00AF7FB6"/>
    <w:rsid w:val="00B0122F"/>
    <w:rsid w:val="00B02CBC"/>
    <w:rsid w:val="00B042DB"/>
    <w:rsid w:val="00B0743A"/>
    <w:rsid w:val="00B104F0"/>
    <w:rsid w:val="00B10A26"/>
    <w:rsid w:val="00B11304"/>
    <w:rsid w:val="00B12AB6"/>
    <w:rsid w:val="00B12E3E"/>
    <w:rsid w:val="00B1563C"/>
    <w:rsid w:val="00B2135B"/>
    <w:rsid w:val="00B22D11"/>
    <w:rsid w:val="00B237A0"/>
    <w:rsid w:val="00B2723B"/>
    <w:rsid w:val="00B3464A"/>
    <w:rsid w:val="00B35666"/>
    <w:rsid w:val="00B41E87"/>
    <w:rsid w:val="00B4253B"/>
    <w:rsid w:val="00B459F5"/>
    <w:rsid w:val="00B51DF8"/>
    <w:rsid w:val="00B5478E"/>
    <w:rsid w:val="00B571B0"/>
    <w:rsid w:val="00B577BE"/>
    <w:rsid w:val="00B6007F"/>
    <w:rsid w:val="00B60D6C"/>
    <w:rsid w:val="00B63D86"/>
    <w:rsid w:val="00B64CA3"/>
    <w:rsid w:val="00B66F8B"/>
    <w:rsid w:val="00B675AD"/>
    <w:rsid w:val="00B707DB"/>
    <w:rsid w:val="00B7310B"/>
    <w:rsid w:val="00B73238"/>
    <w:rsid w:val="00B7346A"/>
    <w:rsid w:val="00B742A2"/>
    <w:rsid w:val="00B76A9A"/>
    <w:rsid w:val="00B81255"/>
    <w:rsid w:val="00B81F21"/>
    <w:rsid w:val="00B84F9B"/>
    <w:rsid w:val="00B85C01"/>
    <w:rsid w:val="00B86D40"/>
    <w:rsid w:val="00B900E4"/>
    <w:rsid w:val="00B9261B"/>
    <w:rsid w:val="00B93297"/>
    <w:rsid w:val="00B9342E"/>
    <w:rsid w:val="00BA1CFA"/>
    <w:rsid w:val="00BA1EE6"/>
    <w:rsid w:val="00BA2674"/>
    <w:rsid w:val="00BB25A3"/>
    <w:rsid w:val="00BB3E72"/>
    <w:rsid w:val="00BB3FD4"/>
    <w:rsid w:val="00BC1219"/>
    <w:rsid w:val="00BC2535"/>
    <w:rsid w:val="00BC306A"/>
    <w:rsid w:val="00BC3909"/>
    <w:rsid w:val="00BC47FC"/>
    <w:rsid w:val="00BC5A33"/>
    <w:rsid w:val="00BD0CF3"/>
    <w:rsid w:val="00BD1A37"/>
    <w:rsid w:val="00BD1F61"/>
    <w:rsid w:val="00BD25D0"/>
    <w:rsid w:val="00BD2F9A"/>
    <w:rsid w:val="00BD387C"/>
    <w:rsid w:val="00BD55BE"/>
    <w:rsid w:val="00BD5DD7"/>
    <w:rsid w:val="00BD603B"/>
    <w:rsid w:val="00BD7C1E"/>
    <w:rsid w:val="00BE006B"/>
    <w:rsid w:val="00BE0603"/>
    <w:rsid w:val="00BE1C0E"/>
    <w:rsid w:val="00BE2C7C"/>
    <w:rsid w:val="00BE3A0E"/>
    <w:rsid w:val="00BE3B6C"/>
    <w:rsid w:val="00BE6F71"/>
    <w:rsid w:val="00BF074C"/>
    <w:rsid w:val="00BF141B"/>
    <w:rsid w:val="00BF2AE6"/>
    <w:rsid w:val="00BF4A82"/>
    <w:rsid w:val="00C019F6"/>
    <w:rsid w:val="00C03BA9"/>
    <w:rsid w:val="00C05055"/>
    <w:rsid w:val="00C059B9"/>
    <w:rsid w:val="00C06631"/>
    <w:rsid w:val="00C14D50"/>
    <w:rsid w:val="00C15478"/>
    <w:rsid w:val="00C155D3"/>
    <w:rsid w:val="00C167AA"/>
    <w:rsid w:val="00C20996"/>
    <w:rsid w:val="00C22264"/>
    <w:rsid w:val="00C22312"/>
    <w:rsid w:val="00C23197"/>
    <w:rsid w:val="00C23804"/>
    <w:rsid w:val="00C25BF4"/>
    <w:rsid w:val="00C26EF1"/>
    <w:rsid w:val="00C27CE7"/>
    <w:rsid w:val="00C3115D"/>
    <w:rsid w:val="00C31BB7"/>
    <w:rsid w:val="00C41868"/>
    <w:rsid w:val="00C42489"/>
    <w:rsid w:val="00C42D32"/>
    <w:rsid w:val="00C434C5"/>
    <w:rsid w:val="00C44531"/>
    <w:rsid w:val="00C4459F"/>
    <w:rsid w:val="00C44F18"/>
    <w:rsid w:val="00C45CDB"/>
    <w:rsid w:val="00C45F23"/>
    <w:rsid w:val="00C47ACD"/>
    <w:rsid w:val="00C54E54"/>
    <w:rsid w:val="00C62072"/>
    <w:rsid w:val="00C62354"/>
    <w:rsid w:val="00C632B3"/>
    <w:rsid w:val="00C63E48"/>
    <w:rsid w:val="00C6485A"/>
    <w:rsid w:val="00C67E3F"/>
    <w:rsid w:val="00C70F83"/>
    <w:rsid w:val="00C725B8"/>
    <w:rsid w:val="00C72ABD"/>
    <w:rsid w:val="00C73BF7"/>
    <w:rsid w:val="00C743A6"/>
    <w:rsid w:val="00C750BB"/>
    <w:rsid w:val="00C778ED"/>
    <w:rsid w:val="00C829DA"/>
    <w:rsid w:val="00C834E8"/>
    <w:rsid w:val="00C873EA"/>
    <w:rsid w:val="00C90BB6"/>
    <w:rsid w:val="00C90E39"/>
    <w:rsid w:val="00CA1C75"/>
    <w:rsid w:val="00CA465F"/>
    <w:rsid w:val="00CA6CF5"/>
    <w:rsid w:val="00CA71B7"/>
    <w:rsid w:val="00CB00E6"/>
    <w:rsid w:val="00CB1A10"/>
    <w:rsid w:val="00CB3635"/>
    <w:rsid w:val="00CB43CD"/>
    <w:rsid w:val="00CB5154"/>
    <w:rsid w:val="00CB5941"/>
    <w:rsid w:val="00CB641B"/>
    <w:rsid w:val="00CB6509"/>
    <w:rsid w:val="00CB72E1"/>
    <w:rsid w:val="00CB7FE8"/>
    <w:rsid w:val="00CC043B"/>
    <w:rsid w:val="00CC1431"/>
    <w:rsid w:val="00CC3ACF"/>
    <w:rsid w:val="00CC4A18"/>
    <w:rsid w:val="00CC4AA0"/>
    <w:rsid w:val="00CD11BD"/>
    <w:rsid w:val="00CD74B8"/>
    <w:rsid w:val="00CE11AE"/>
    <w:rsid w:val="00CE2D91"/>
    <w:rsid w:val="00CE38CE"/>
    <w:rsid w:val="00CE3C45"/>
    <w:rsid w:val="00CE6E7D"/>
    <w:rsid w:val="00CE7DDE"/>
    <w:rsid w:val="00CE7E0F"/>
    <w:rsid w:val="00CF1179"/>
    <w:rsid w:val="00CF19C5"/>
    <w:rsid w:val="00CF349A"/>
    <w:rsid w:val="00CF560E"/>
    <w:rsid w:val="00CF5871"/>
    <w:rsid w:val="00CF6069"/>
    <w:rsid w:val="00CF644B"/>
    <w:rsid w:val="00CF6527"/>
    <w:rsid w:val="00D012DB"/>
    <w:rsid w:val="00D01BC7"/>
    <w:rsid w:val="00D02A96"/>
    <w:rsid w:val="00D06F71"/>
    <w:rsid w:val="00D10A82"/>
    <w:rsid w:val="00D11149"/>
    <w:rsid w:val="00D13326"/>
    <w:rsid w:val="00D161ED"/>
    <w:rsid w:val="00D205F3"/>
    <w:rsid w:val="00D2114D"/>
    <w:rsid w:val="00D222BA"/>
    <w:rsid w:val="00D23B73"/>
    <w:rsid w:val="00D25F98"/>
    <w:rsid w:val="00D26E87"/>
    <w:rsid w:val="00D334DE"/>
    <w:rsid w:val="00D40110"/>
    <w:rsid w:val="00D410A9"/>
    <w:rsid w:val="00D458F0"/>
    <w:rsid w:val="00D47191"/>
    <w:rsid w:val="00D522A0"/>
    <w:rsid w:val="00D5535E"/>
    <w:rsid w:val="00D55830"/>
    <w:rsid w:val="00D57904"/>
    <w:rsid w:val="00D57C85"/>
    <w:rsid w:val="00D6480F"/>
    <w:rsid w:val="00D705C8"/>
    <w:rsid w:val="00D71AA9"/>
    <w:rsid w:val="00D73361"/>
    <w:rsid w:val="00D73F88"/>
    <w:rsid w:val="00D7556E"/>
    <w:rsid w:val="00D775DC"/>
    <w:rsid w:val="00D81651"/>
    <w:rsid w:val="00D821CC"/>
    <w:rsid w:val="00D82990"/>
    <w:rsid w:val="00D866D8"/>
    <w:rsid w:val="00D87558"/>
    <w:rsid w:val="00D8756F"/>
    <w:rsid w:val="00D946FE"/>
    <w:rsid w:val="00DA064B"/>
    <w:rsid w:val="00DA095D"/>
    <w:rsid w:val="00DA1D21"/>
    <w:rsid w:val="00DA25FE"/>
    <w:rsid w:val="00DA2BAE"/>
    <w:rsid w:val="00DA6357"/>
    <w:rsid w:val="00DA6769"/>
    <w:rsid w:val="00DB1720"/>
    <w:rsid w:val="00DB38AE"/>
    <w:rsid w:val="00DB56F7"/>
    <w:rsid w:val="00DB63B4"/>
    <w:rsid w:val="00DB6BBF"/>
    <w:rsid w:val="00DB7763"/>
    <w:rsid w:val="00DC2048"/>
    <w:rsid w:val="00DD0E39"/>
    <w:rsid w:val="00DD1264"/>
    <w:rsid w:val="00DD309C"/>
    <w:rsid w:val="00DD3A9E"/>
    <w:rsid w:val="00DD4583"/>
    <w:rsid w:val="00DD4AC7"/>
    <w:rsid w:val="00DD4B98"/>
    <w:rsid w:val="00DD52E9"/>
    <w:rsid w:val="00DD5B83"/>
    <w:rsid w:val="00DD74A0"/>
    <w:rsid w:val="00DE76F8"/>
    <w:rsid w:val="00DE7F84"/>
    <w:rsid w:val="00DF03F2"/>
    <w:rsid w:val="00DF36AB"/>
    <w:rsid w:val="00DF399B"/>
    <w:rsid w:val="00DF4870"/>
    <w:rsid w:val="00DF7305"/>
    <w:rsid w:val="00DF7C6E"/>
    <w:rsid w:val="00E03521"/>
    <w:rsid w:val="00E03E5C"/>
    <w:rsid w:val="00E04CDD"/>
    <w:rsid w:val="00E06B8A"/>
    <w:rsid w:val="00E07D51"/>
    <w:rsid w:val="00E1094A"/>
    <w:rsid w:val="00E12763"/>
    <w:rsid w:val="00E129A8"/>
    <w:rsid w:val="00E149B5"/>
    <w:rsid w:val="00E14FD2"/>
    <w:rsid w:val="00E15853"/>
    <w:rsid w:val="00E17327"/>
    <w:rsid w:val="00E17588"/>
    <w:rsid w:val="00E20EF1"/>
    <w:rsid w:val="00E221D6"/>
    <w:rsid w:val="00E25815"/>
    <w:rsid w:val="00E32E51"/>
    <w:rsid w:val="00E35690"/>
    <w:rsid w:val="00E35AD0"/>
    <w:rsid w:val="00E36D56"/>
    <w:rsid w:val="00E430C4"/>
    <w:rsid w:val="00E437CB"/>
    <w:rsid w:val="00E45E58"/>
    <w:rsid w:val="00E45FFB"/>
    <w:rsid w:val="00E51742"/>
    <w:rsid w:val="00E538DF"/>
    <w:rsid w:val="00E54DB4"/>
    <w:rsid w:val="00E5608D"/>
    <w:rsid w:val="00E60556"/>
    <w:rsid w:val="00E6273C"/>
    <w:rsid w:val="00E63531"/>
    <w:rsid w:val="00E64E55"/>
    <w:rsid w:val="00E67827"/>
    <w:rsid w:val="00E71163"/>
    <w:rsid w:val="00E71632"/>
    <w:rsid w:val="00E75550"/>
    <w:rsid w:val="00E76012"/>
    <w:rsid w:val="00E7602B"/>
    <w:rsid w:val="00E8269E"/>
    <w:rsid w:val="00E86433"/>
    <w:rsid w:val="00E86FC1"/>
    <w:rsid w:val="00E87246"/>
    <w:rsid w:val="00E8769D"/>
    <w:rsid w:val="00E90DCC"/>
    <w:rsid w:val="00E9176B"/>
    <w:rsid w:val="00E94741"/>
    <w:rsid w:val="00E94DE5"/>
    <w:rsid w:val="00E95E40"/>
    <w:rsid w:val="00E965A6"/>
    <w:rsid w:val="00E9723D"/>
    <w:rsid w:val="00E973A0"/>
    <w:rsid w:val="00E97BD8"/>
    <w:rsid w:val="00EA0003"/>
    <w:rsid w:val="00EA2098"/>
    <w:rsid w:val="00EA2924"/>
    <w:rsid w:val="00EA369A"/>
    <w:rsid w:val="00EA3C05"/>
    <w:rsid w:val="00EA3E3A"/>
    <w:rsid w:val="00EB1E20"/>
    <w:rsid w:val="00EB1E87"/>
    <w:rsid w:val="00EB2C7E"/>
    <w:rsid w:val="00EB5F3C"/>
    <w:rsid w:val="00EC12EF"/>
    <w:rsid w:val="00EC5FA1"/>
    <w:rsid w:val="00ED10BF"/>
    <w:rsid w:val="00EE0C0A"/>
    <w:rsid w:val="00EE3EBE"/>
    <w:rsid w:val="00EE5DB6"/>
    <w:rsid w:val="00EE70D6"/>
    <w:rsid w:val="00EF0A7C"/>
    <w:rsid w:val="00EF4084"/>
    <w:rsid w:val="00EF4F1E"/>
    <w:rsid w:val="00EF5A3E"/>
    <w:rsid w:val="00EF5E01"/>
    <w:rsid w:val="00EF748D"/>
    <w:rsid w:val="00F00C2D"/>
    <w:rsid w:val="00F05C45"/>
    <w:rsid w:val="00F0798A"/>
    <w:rsid w:val="00F112CA"/>
    <w:rsid w:val="00F1149A"/>
    <w:rsid w:val="00F142DA"/>
    <w:rsid w:val="00F14511"/>
    <w:rsid w:val="00F1496B"/>
    <w:rsid w:val="00F16A8B"/>
    <w:rsid w:val="00F20052"/>
    <w:rsid w:val="00F214AD"/>
    <w:rsid w:val="00F25439"/>
    <w:rsid w:val="00F26B30"/>
    <w:rsid w:val="00F27ACF"/>
    <w:rsid w:val="00F33E26"/>
    <w:rsid w:val="00F346E7"/>
    <w:rsid w:val="00F40BEA"/>
    <w:rsid w:val="00F42000"/>
    <w:rsid w:val="00F42349"/>
    <w:rsid w:val="00F44A86"/>
    <w:rsid w:val="00F4583B"/>
    <w:rsid w:val="00F465FF"/>
    <w:rsid w:val="00F4690B"/>
    <w:rsid w:val="00F47671"/>
    <w:rsid w:val="00F5180B"/>
    <w:rsid w:val="00F51B5A"/>
    <w:rsid w:val="00F52087"/>
    <w:rsid w:val="00F54735"/>
    <w:rsid w:val="00F5531A"/>
    <w:rsid w:val="00F5543A"/>
    <w:rsid w:val="00F5716A"/>
    <w:rsid w:val="00F57264"/>
    <w:rsid w:val="00F60269"/>
    <w:rsid w:val="00F614D5"/>
    <w:rsid w:val="00F665F6"/>
    <w:rsid w:val="00F72521"/>
    <w:rsid w:val="00F72B3D"/>
    <w:rsid w:val="00F75753"/>
    <w:rsid w:val="00F76A0A"/>
    <w:rsid w:val="00F76D9C"/>
    <w:rsid w:val="00F806D8"/>
    <w:rsid w:val="00F858D1"/>
    <w:rsid w:val="00F86E37"/>
    <w:rsid w:val="00F91355"/>
    <w:rsid w:val="00F91543"/>
    <w:rsid w:val="00F955B0"/>
    <w:rsid w:val="00F979CC"/>
    <w:rsid w:val="00F97AFC"/>
    <w:rsid w:val="00FA25D9"/>
    <w:rsid w:val="00FA326A"/>
    <w:rsid w:val="00FA3CC0"/>
    <w:rsid w:val="00FA4224"/>
    <w:rsid w:val="00FA70A8"/>
    <w:rsid w:val="00FA7666"/>
    <w:rsid w:val="00FB005C"/>
    <w:rsid w:val="00FB0479"/>
    <w:rsid w:val="00FB0F82"/>
    <w:rsid w:val="00FB1893"/>
    <w:rsid w:val="00FB1926"/>
    <w:rsid w:val="00FB1A9A"/>
    <w:rsid w:val="00FB203D"/>
    <w:rsid w:val="00FC1BFB"/>
    <w:rsid w:val="00FC2FE7"/>
    <w:rsid w:val="00FC3169"/>
    <w:rsid w:val="00FC3BEA"/>
    <w:rsid w:val="00FC5437"/>
    <w:rsid w:val="00FC5F2C"/>
    <w:rsid w:val="00FD039B"/>
    <w:rsid w:val="00FD0923"/>
    <w:rsid w:val="00FD0F1A"/>
    <w:rsid w:val="00FD2610"/>
    <w:rsid w:val="00FD3939"/>
    <w:rsid w:val="00FD4836"/>
    <w:rsid w:val="00FD560D"/>
    <w:rsid w:val="00FD5882"/>
    <w:rsid w:val="00FE03DE"/>
    <w:rsid w:val="00FE2483"/>
    <w:rsid w:val="00FE3947"/>
    <w:rsid w:val="00FE4D1F"/>
    <w:rsid w:val="00FF1240"/>
    <w:rsid w:val="00FF2C40"/>
    <w:rsid w:val="00FF5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spacing w:val="-5"/>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semiHidden/>
    <w:unhideWhenUsed/>
    <w:qFormat/>
    <w:rsid w:val="00EA209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paragraph" w:styleId="Closing">
    <w:name w:val="Closing"/>
    <w:basedOn w:val="Normal"/>
    <w:pPr>
      <w:keepNext/>
      <w:spacing w:line="220" w:lineRule="atLeast"/>
    </w:pPr>
    <w:rPr>
      <w:rFonts w:ascii="Arial" w:hAnsi="Arial"/>
      <w:spacing w:val="-5"/>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link w:val="MessageHeaderChar"/>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3754D4"/>
      <w:u w:val="single"/>
    </w:rPr>
  </w:style>
  <w:style w:type="character" w:styleId="Strong">
    <w:name w:val="Strong"/>
    <w:qFormat/>
    <w:rPr>
      <w:b/>
      <w:bCs/>
    </w:rPr>
  </w:style>
  <w:style w:type="character" w:customStyle="1" w:styleId="Char7">
    <w:name w:val="Char7"/>
    <w:rPr>
      <w:rFonts w:ascii="Arial" w:hAnsi="Arial"/>
      <w:color w:val="000000"/>
      <w:spacing w:val="-5"/>
      <w:sz w:val="18"/>
      <w:lang w:val="en-US" w:eastAsia="en-US" w:bidi="ar-SA"/>
    </w:rPr>
  </w:style>
  <w:style w:type="paragraph" w:styleId="BodyText2">
    <w:name w:val="Body Text 2"/>
    <w:basedOn w:val="Normal"/>
    <w:pPr>
      <w:ind w:left="360"/>
    </w:pPr>
    <w:rPr>
      <w:rFonts w:ascii="Bookman Old Style" w:hAnsi="Bookman Old Style"/>
      <w:b/>
      <w:i/>
      <w:color w:val="auto"/>
      <w:sz w:val="20"/>
    </w:rPr>
  </w:style>
  <w:style w:type="character" w:customStyle="1" w:styleId="Char4">
    <w:name w:val="Char4"/>
    <w:rPr>
      <w:rFonts w:ascii="Bookman Old Style" w:hAnsi="Bookman Old Style"/>
      <w:b/>
      <w:i/>
      <w:lang w:val="en-US" w:eastAsia="en-US" w:bidi="ar-SA"/>
    </w:rPr>
  </w:style>
  <w:style w:type="character" w:customStyle="1" w:styleId="Char6">
    <w:name w:val="Char6"/>
    <w:rPr>
      <w:rFonts w:ascii="Arial" w:hAnsi="Arial"/>
      <w:color w:val="000000"/>
      <w:spacing w:val="-5"/>
      <w:sz w:val="24"/>
      <w:lang w:val="en-US" w:eastAsia="en-US" w:bidi="ar-SA"/>
    </w:rPr>
  </w:style>
  <w:style w:type="character" w:customStyle="1" w:styleId="Char5">
    <w:name w:val="Char5"/>
    <w:semiHidden/>
    <w:rPr>
      <w:rFonts w:ascii="Tahoma" w:hAnsi="Tahoma" w:cs="Tahoma"/>
      <w:color w:val="000000"/>
      <w:sz w:val="16"/>
      <w:szCs w:val="16"/>
      <w:lang w:val="en-US" w:eastAsia="en-US" w:bidi="ar-SA"/>
    </w:rPr>
  </w:style>
  <w:style w:type="paragraph" w:styleId="NormalWeb">
    <w:name w:val="Normal (Web)"/>
    <w:basedOn w:val="Normal"/>
    <w:pPr>
      <w:spacing w:before="100" w:beforeAutospacing="1" w:after="100" w:afterAutospacing="1"/>
    </w:pPr>
    <w:rPr>
      <w:color w:val="auto"/>
      <w:szCs w:val="24"/>
    </w:rPr>
  </w:style>
  <w:style w:type="paragraph" w:customStyle="1" w:styleId="NormalTIMS">
    <w:name w:val="NormalTIMS"/>
    <w:basedOn w:val="Normal"/>
    <w:pPr>
      <w:tabs>
        <w:tab w:val="left" w:pos="475"/>
      </w:tabs>
      <w:spacing w:line="192" w:lineRule="auto"/>
      <w:jc w:val="both"/>
    </w:pPr>
    <w:rPr>
      <w:color w:val="auto"/>
    </w:rPr>
  </w:style>
  <w:style w:type="paragraph" w:styleId="ListBullet2">
    <w:name w:val="List Bullet 2"/>
    <w:basedOn w:val="Normal"/>
    <w:autoRedefine/>
    <w:pPr>
      <w:widowControl w:val="0"/>
      <w:numPr>
        <w:numId w:val="1"/>
      </w:numPr>
      <w:tabs>
        <w:tab w:val="clear" w:pos="360"/>
      </w:tabs>
      <w:ind w:left="810" w:hanging="540"/>
      <w:jc w:val="both"/>
    </w:pPr>
    <w:rPr>
      <w:snapToGrid w:val="0"/>
      <w:color w:val="auto"/>
    </w:rPr>
  </w:style>
  <w:style w:type="paragraph" w:styleId="BodyTextIndent">
    <w:name w:val="Body Text Indent"/>
    <w:basedOn w:val="Normal"/>
    <w:pPr>
      <w:widowControl w:val="0"/>
      <w:spacing w:after="120"/>
      <w:ind w:left="360"/>
    </w:pPr>
    <w:rPr>
      <w:rFonts w:ascii="Century Gothic" w:hAnsi="Century Gothic"/>
      <w:snapToGrid w:val="0"/>
      <w:color w:val="auto"/>
    </w:rPr>
  </w:style>
  <w:style w:type="character" w:customStyle="1" w:styleId="Char3">
    <w:name w:val="Char3"/>
    <w:rPr>
      <w:rFonts w:ascii="Century Gothic" w:hAnsi="Century Gothic"/>
      <w:snapToGrid w:val="0"/>
      <w:sz w:val="24"/>
      <w:lang w:val="en-US" w:eastAsia="en-US" w:bidi="ar-SA"/>
    </w:rPr>
  </w:style>
  <w:style w:type="paragraph" w:styleId="BodyText3">
    <w:name w:val="Body Text 3"/>
    <w:basedOn w:val="Normal"/>
    <w:pPr>
      <w:spacing w:after="120"/>
    </w:pPr>
    <w:rPr>
      <w:color w:val="auto"/>
      <w:sz w:val="16"/>
      <w:szCs w:val="16"/>
    </w:rPr>
  </w:style>
  <w:style w:type="character" w:customStyle="1" w:styleId="Char2">
    <w:name w:val="Char2"/>
    <w:rPr>
      <w:sz w:val="16"/>
      <w:szCs w:val="16"/>
      <w:lang w:val="en-US" w:eastAsia="en-US" w:bidi="ar-SA"/>
    </w:rPr>
  </w:style>
  <w:style w:type="character" w:customStyle="1" w:styleId="redline1">
    <w:name w:val="redline1"/>
    <w:rPr>
      <w:b w:val="0"/>
      <w:bCs w:val="0"/>
      <w:i/>
      <w:iCs/>
      <w:color w:val="FF0000"/>
      <w:shd w:val="clear" w:color="auto" w:fill="auto"/>
    </w:rPr>
  </w:style>
  <w:style w:type="paragraph" w:styleId="ListParagraph">
    <w:name w:val="List Paragraph"/>
    <w:basedOn w:val="Normal"/>
    <w:uiPriority w:val="34"/>
    <w:qFormat/>
    <w:pPr>
      <w:ind w:left="720"/>
    </w:pPr>
    <w:rPr>
      <w:color w:val="auto"/>
      <w:szCs w:val="24"/>
    </w:rPr>
  </w:style>
  <w:style w:type="character" w:styleId="CommentReference">
    <w:name w:val="annotation reference"/>
    <w:semiHidden/>
    <w:unhideWhenUsed/>
    <w:rPr>
      <w:sz w:val="16"/>
      <w:szCs w:val="16"/>
    </w:rPr>
  </w:style>
  <w:style w:type="character" w:customStyle="1" w:styleId="Char1">
    <w:name w:val="Char1"/>
    <w:semiHidden/>
    <w:rPr>
      <w:lang w:bidi="ar-SA"/>
    </w:rPr>
  </w:style>
  <w:style w:type="paragraph" w:styleId="CommentText">
    <w:name w:val="annotation text"/>
    <w:basedOn w:val="Normal"/>
    <w:semiHidden/>
    <w:unhideWhenUsed/>
    <w:rPr>
      <w:color w:val="auto"/>
      <w:sz w:val="20"/>
    </w:rPr>
  </w:style>
  <w:style w:type="character" w:customStyle="1" w:styleId="Char">
    <w:name w:val="Char"/>
    <w:semiHidden/>
    <w:rPr>
      <w:b/>
      <w:bCs/>
      <w:lang w:bidi="ar-SA"/>
    </w:rPr>
  </w:style>
  <w:style w:type="paragraph" w:styleId="CommentSubject">
    <w:name w:val="annotation subject"/>
    <w:basedOn w:val="CommentText"/>
    <w:next w:val="CommentText"/>
    <w:semiHidden/>
    <w:unhideWhenUsed/>
    <w:rPr>
      <w:b/>
      <w:bCs/>
    </w:rPr>
  </w:style>
  <w:style w:type="paragraph" w:customStyle="1" w:styleId="Default">
    <w:name w:val="Default"/>
    <w:pPr>
      <w:autoSpaceDE w:val="0"/>
      <w:autoSpaceDN w:val="0"/>
      <w:adjustRightInd w:val="0"/>
    </w:pPr>
    <w:rPr>
      <w:rFonts w:eastAsia="Calibri"/>
      <w:color w:val="000000"/>
      <w:sz w:val="24"/>
      <w:szCs w:val="24"/>
    </w:rPr>
  </w:style>
  <w:style w:type="character" w:styleId="FollowedHyperlink">
    <w:name w:val="FollowedHyperlink"/>
    <w:rPr>
      <w:color w:val="800080"/>
      <w:u w:val="single"/>
    </w:rPr>
  </w:style>
  <w:style w:type="character" w:customStyle="1" w:styleId="MessageHeaderChar">
    <w:name w:val="Message Header Char"/>
    <w:link w:val="MessageHeader"/>
    <w:rsid w:val="009701EB"/>
    <w:rPr>
      <w:rFonts w:ascii="Arial" w:hAnsi="Arial"/>
      <w:color w:val="000000"/>
      <w:spacing w:val="-5"/>
      <w:sz w:val="24"/>
    </w:rPr>
  </w:style>
  <w:style w:type="character" w:customStyle="1" w:styleId="Heading6Char">
    <w:name w:val="Heading 6 Char"/>
    <w:link w:val="Heading6"/>
    <w:semiHidden/>
    <w:rsid w:val="00EA2098"/>
    <w:rPr>
      <w:rFonts w:ascii="Calibri" w:eastAsia="Times New Roman" w:hAnsi="Calibri" w:cs="Times New Roman"/>
      <w:b/>
      <w:bCs/>
      <w:color w:val="000000"/>
      <w:sz w:val="22"/>
      <w:szCs w:val="22"/>
    </w:rPr>
  </w:style>
  <w:style w:type="character" w:customStyle="1" w:styleId="FooterChar">
    <w:name w:val="Footer Char"/>
    <w:link w:val="Footer"/>
    <w:uiPriority w:val="99"/>
    <w:rsid w:val="00504A1F"/>
    <w:rPr>
      <w:rFonts w:ascii="Arial" w:hAnsi="Arial"/>
      <w:color w:val="000000"/>
      <w:spacing w:val="-5"/>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4"/>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spacing w:val="-5"/>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semiHidden/>
    <w:unhideWhenUsed/>
    <w:qFormat/>
    <w:rsid w:val="00EA209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rPr>
      <w:rFonts w:ascii="Arial" w:hAnsi="Arial"/>
      <w:spacing w:val="-5"/>
    </w:rPr>
  </w:style>
  <w:style w:type="paragraph" w:styleId="Closing">
    <w:name w:val="Closing"/>
    <w:basedOn w:val="Normal"/>
    <w:pPr>
      <w:keepNext/>
      <w:spacing w:line="220" w:lineRule="atLeast"/>
    </w:pPr>
    <w:rPr>
      <w:rFonts w:ascii="Arial" w:hAnsi="Arial"/>
      <w:spacing w:val="-5"/>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link w:val="FooterChar"/>
    <w:uiPriority w:val="99"/>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link w:val="MessageHeaderChar"/>
    <w:pPr>
      <w:keepLines/>
      <w:spacing w:after="120"/>
      <w:ind w:left="720"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720"/>
    </w:pPr>
  </w:style>
  <w:style w:type="character" w:styleId="PageNumber">
    <w:name w:val="page number"/>
    <w:rPr>
      <w:sz w:val="18"/>
    </w:rPr>
  </w:style>
  <w:style w:type="paragraph" w:customStyle="1" w:styleId="ReturnAddress">
    <w:name w:val="Return Address"/>
    <w:basedOn w:val="Normal"/>
    <w:pPr>
      <w:keepLines/>
      <w:framePr w:w="5040" w:hSpace="180" w:wrap="notBeside" w:vAnchor="page" w:hAnchor="page" w:x="1801" w:y="961" w:anchorLock="1"/>
      <w:spacing w:line="200" w:lineRule="atLeast"/>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3754D4"/>
      <w:u w:val="single"/>
    </w:rPr>
  </w:style>
  <w:style w:type="character" w:styleId="Strong">
    <w:name w:val="Strong"/>
    <w:qFormat/>
    <w:rPr>
      <w:b/>
      <w:bCs/>
    </w:rPr>
  </w:style>
  <w:style w:type="character" w:customStyle="1" w:styleId="Char7">
    <w:name w:val="Char7"/>
    <w:rPr>
      <w:rFonts w:ascii="Arial" w:hAnsi="Arial"/>
      <w:color w:val="000000"/>
      <w:spacing w:val="-5"/>
      <w:sz w:val="18"/>
      <w:lang w:val="en-US" w:eastAsia="en-US" w:bidi="ar-SA"/>
    </w:rPr>
  </w:style>
  <w:style w:type="paragraph" w:styleId="BodyText2">
    <w:name w:val="Body Text 2"/>
    <w:basedOn w:val="Normal"/>
    <w:pPr>
      <w:ind w:left="360"/>
    </w:pPr>
    <w:rPr>
      <w:rFonts w:ascii="Bookman Old Style" w:hAnsi="Bookman Old Style"/>
      <w:b/>
      <w:i/>
      <w:color w:val="auto"/>
      <w:sz w:val="20"/>
    </w:rPr>
  </w:style>
  <w:style w:type="character" w:customStyle="1" w:styleId="Char4">
    <w:name w:val="Char4"/>
    <w:rPr>
      <w:rFonts w:ascii="Bookman Old Style" w:hAnsi="Bookman Old Style"/>
      <w:b/>
      <w:i/>
      <w:lang w:val="en-US" w:eastAsia="en-US" w:bidi="ar-SA"/>
    </w:rPr>
  </w:style>
  <w:style w:type="character" w:customStyle="1" w:styleId="Char6">
    <w:name w:val="Char6"/>
    <w:rPr>
      <w:rFonts w:ascii="Arial" w:hAnsi="Arial"/>
      <w:color w:val="000000"/>
      <w:spacing w:val="-5"/>
      <w:sz w:val="24"/>
      <w:lang w:val="en-US" w:eastAsia="en-US" w:bidi="ar-SA"/>
    </w:rPr>
  </w:style>
  <w:style w:type="character" w:customStyle="1" w:styleId="Char5">
    <w:name w:val="Char5"/>
    <w:semiHidden/>
    <w:rPr>
      <w:rFonts w:ascii="Tahoma" w:hAnsi="Tahoma" w:cs="Tahoma"/>
      <w:color w:val="000000"/>
      <w:sz w:val="16"/>
      <w:szCs w:val="16"/>
      <w:lang w:val="en-US" w:eastAsia="en-US" w:bidi="ar-SA"/>
    </w:rPr>
  </w:style>
  <w:style w:type="paragraph" w:styleId="NormalWeb">
    <w:name w:val="Normal (Web)"/>
    <w:basedOn w:val="Normal"/>
    <w:pPr>
      <w:spacing w:before="100" w:beforeAutospacing="1" w:after="100" w:afterAutospacing="1"/>
    </w:pPr>
    <w:rPr>
      <w:color w:val="auto"/>
      <w:szCs w:val="24"/>
    </w:rPr>
  </w:style>
  <w:style w:type="paragraph" w:customStyle="1" w:styleId="NormalTIMS">
    <w:name w:val="NormalTIMS"/>
    <w:basedOn w:val="Normal"/>
    <w:pPr>
      <w:tabs>
        <w:tab w:val="left" w:pos="475"/>
      </w:tabs>
      <w:spacing w:line="192" w:lineRule="auto"/>
      <w:jc w:val="both"/>
    </w:pPr>
    <w:rPr>
      <w:color w:val="auto"/>
    </w:rPr>
  </w:style>
  <w:style w:type="paragraph" w:styleId="ListBullet2">
    <w:name w:val="List Bullet 2"/>
    <w:basedOn w:val="Normal"/>
    <w:autoRedefine/>
    <w:pPr>
      <w:widowControl w:val="0"/>
      <w:numPr>
        <w:numId w:val="1"/>
      </w:numPr>
      <w:tabs>
        <w:tab w:val="clear" w:pos="360"/>
      </w:tabs>
      <w:ind w:left="810" w:hanging="540"/>
      <w:jc w:val="both"/>
    </w:pPr>
    <w:rPr>
      <w:snapToGrid w:val="0"/>
      <w:color w:val="auto"/>
    </w:rPr>
  </w:style>
  <w:style w:type="paragraph" w:styleId="BodyTextIndent">
    <w:name w:val="Body Text Indent"/>
    <w:basedOn w:val="Normal"/>
    <w:pPr>
      <w:widowControl w:val="0"/>
      <w:spacing w:after="120"/>
      <w:ind w:left="360"/>
    </w:pPr>
    <w:rPr>
      <w:rFonts w:ascii="Century Gothic" w:hAnsi="Century Gothic"/>
      <w:snapToGrid w:val="0"/>
      <w:color w:val="auto"/>
    </w:rPr>
  </w:style>
  <w:style w:type="character" w:customStyle="1" w:styleId="Char3">
    <w:name w:val="Char3"/>
    <w:rPr>
      <w:rFonts w:ascii="Century Gothic" w:hAnsi="Century Gothic"/>
      <w:snapToGrid w:val="0"/>
      <w:sz w:val="24"/>
      <w:lang w:val="en-US" w:eastAsia="en-US" w:bidi="ar-SA"/>
    </w:rPr>
  </w:style>
  <w:style w:type="paragraph" w:styleId="BodyText3">
    <w:name w:val="Body Text 3"/>
    <w:basedOn w:val="Normal"/>
    <w:pPr>
      <w:spacing w:after="120"/>
    </w:pPr>
    <w:rPr>
      <w:color w:val="auto"/>
      <w:sz w:val="16"/>
      <w:szCs w:val="16"/>
    </w:rPr>
  </w:style>
  <w:style w:type="character" w:customStyle="1" w:styleId="Char2">
    <w:name w:val="Char2"/>
    <w:rPr>
      <w:sz w:val="16"/>
      <w:szCs w:val="16"/>
      <w:lang w:val="en-US" w:eastAsia="en-US" w:bidi="ar-SA"/>
    </w:rPr>
  </w:style>
  <w:style w:type="character" w:customStyle="1" w:styleId="redline1">
    <w:name w:val="redline1"/>
    <w:rPr>
      <w:b w:val="0"/>
      <w:bCs w:val="0"/>
      <w:i/>
      <w:iCs/>
      <w:color w:val="FF0000"/>
      <w:shd w:val="clear" w:color="auto" w:fill="auto"/>
    </w:rPr>
  </w:style>
  <w:style w:type="paragraph" w:styleId="ListParagraph">
    <w:name w:val="List Paragraph"/>
    <w:basedOn w:val="Normal"/>
    <w:uiPriority w:val="34"/>
    <w:qFormat/>
    <w:pPr>
      <w:ind w:left="720"/>
    </w:pPr>
    <w:rPr>
      <w:color w:val="auto"/>
      <w:szCs w:val="24"/>
    </w:rPr>
  </w:style>
  <w:style w:type="character" w:styleId="CommentReference">
    <w:name w:val="annotation reference"/>
    <w:semiHidden/>
    <w:unhideWhenUsed/>
    <w:rPr>
      <w:sz w:val="16"/>
      <w:szCs w:val="16"/>
    </w:rPr>
  </w:style>
  <w:style w:type="character" w:customStyle="1" w:styleId="Char1">
    <w:name w:val="Char1"/>
    <w:semiHidden/>
    <w:rPr>
      <w:lang w:bidi="ar-SA"/>
    </w:rPr>
  </w:style>
  <w:style w:type="paragraph" w:styleId="CommentText">
    <w:name w:val="annotation text"/>
    <w:basedOn w:val="Normal"/>
    <w:semiHidden/>
    <w:unhideWhenUsed/>
    <w:rPr>
      <w:color w:val="auto"/>
      <w:sz w:val="20"/>
    </w:rPr>
  </w:style>
  <w:style w:type="character" w:customStyle="1" w:styleId="Char">
    <w:name w:val="Char"/>
    <w:semiHidden/>
    <w:rPr>
      <w:b/>
      <w:bCs/>
      <w:lang w:bidi="ar-SA"/>
    </w:rPr>
  </w:style>
  <w:style w:type="paragraph" w:styleId="CommentSubject">
    <w:name w:val="annotation subject"/>
    <w:basedOn w:val="CommentText"/>
    <w:next w:val="CommentText"/>
    <w:semiHidden/>
    <w:unhideWhenUsed/>
    <w:rPr>
      <w:b/>
      <w:bCs/>
    </w:rPr>
  </w:style>
  <w:style w:type="paragraph" w:customStyle="1" w:styleId="Default">
    <w:name w:val="Default"/>
    <w:pPr>
      <w:autoSpaceDE w:val="0"/>
      <w:autoSpaceDN w:val="0"/>
      <w:adjustRightInd w:val="0"/>
    </w:pPr>
    <w:rPr>
      <w:rFonts w:eastAsia="Calibri"/>
      <w:color w:val="000000"/>
      <w:sz w:val="24"/>
      <w:szCs w:val="24"/>
    </w:rPr>
  </w:style>
  <w:style w:type="character" w:styleId="FollowedHyperlink">
    <w:name w:val="FollowedHyperlink"/>
    <w:rPr>
      <w:color w:val="800080"/>
      <w:u w:val="single"/>
    </w:rPr>
  </w:style>
  <w:style w:type="character" w:customStyle="1" w:styleId="MessageHeaderChar">
    <w:name w:val="Message Header Char"/>
    <w:link w:val="MessageHeader"/>
    <w:rsid w:val="009701EB"/>
    <w:rPr>
      <w:rFonts w:ascii="Arial" w:hAnsi="Arial"/>
      <w:color w:val="000000"/>
      <w:spacing w:val="-5"/>
      <w:sz w:val="24"/>
    </w:rPr>
  </w:style>
  <w:style w:type="character" w:customStyle="1" w:styleId="Heading6Char">
    <w:name w:val="Heading 6 Char"/>
    <w:link w:val="Heading6"/>
    <w:semiHidden/>
    <w:rsid w:val="00EA2098"/>
    <w:rPr>
      <w:rFonts w:ascii="Calibri" w:eastAsia="Times New Roman" w:hAnsi="Calibri" w:cs="Times New Roman"/>
      <w:b/>
      <w:bCs/>
      <w:color w:val="000000"/>
      <w:sz w:val="22"/>
      <w:szCs w:val="22"/>
    </w:rPr>
  </w:style>
  <w:style w:type="character" w:customStyle="1" w:styleId="FooterChar">
    <w:name w:val="Footer Char"/>
    <w:link w:val="Footer"/>
    <w:uiPriority w:val="99"/>
    <w:rsid w:val="00504A1F"/>
    <w:rPr>
      <w:rFonts w:ascii="Arial" w:hAnsi="Arial"/>
      <w:color w:val="000000"/>
      <w:spacing w:val="-5"/>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9583">
      <w:bodyDiv w:val="1"/>
      <w:marLeft w:val="0"/>
      <w:marRight w:val="0"/>
      <w:marTop w:val="0"/>
      <w:marBottom w:val="0"/>
      <w:divBdr>
        <w:top w:val="none" w:sz="0" w:space="0" w:color="auto"/>
        <w:left w:val="none" w:sz="0" w:space="0" w:color="auto"/>
        <w:bottom w:val="none" w:sz="0" w:space="0" w:color="auto"/>
        <w:right w:val="none" w:sz="0" w:space="0" w:color="auto"/>
      </w:divBdr>
    </w:div>
    <w:div w:id="175580200">
      <w:bodyDiv w:val="1"/>
      <w:marLeft w:val="0"/>
      <w:marRight w:val="0"/>
      <w:marTop w:val="0"/>
      <w:marBottom w:val="0"/>
      <w:divBdr>
        <w:top w:val="none" w:sz="0" w:space="0" w:color="auto"/>
        <w:left w:val="none" w:sz="0" w:space="0" w:color="auto"/>
        <w:bottom w:val="none" w:sz="0" w:space="0" w:color="auto"/>
        <w:right w:val="none" w:sz="0" w:space="0" w:color="auto"/>
      </w:divBdr>
    </w:div>
    <w:div w:id="380447170">
      <w:bodyDiv w:val="1"/>
      <w:marLeft w:val="0"/>
      <w:marRight w:val="0"/>
      <w:marTop w:val="0"/>
      <w:marBottom w:val="0"/>
      <w:divBdr>
        <w:top w:val="none" w:sz="0" w:space="0" w:color="auto"/>
        <w:left w:val="none" w:sz="0" w:space="0" w:color="auto"/>
        <w:bottom w:val="none" w:sz="0" w:space="0" w:color="auto"/>
        <w:right w:val="none" w:sz="0" w:space="0" w:color="auto"/>
      </w:divBdr>
    </w:div>
    <w:div w:id="423039883">
      <w:bodyDiv w:val="1"/>
      <w:marLeft w:val="0"/>
      <w:marRight w:val="0"/>
      <w:marTop w:val="0"/>
      <w:marBottom w:val="0"/>
      <w:divBdr>
        <w:top w:val="none" w:sz="0" w:space="0" w:color="auto"/>
        <w:left w:val="none" w:sz="0" w:space="0" w:color="auto"/>
        <w:bottom w:val="none" w:sz="0" w:space="0" w:color="auto"/>
        <w:right w:val="none" w:sz="0" w:space="0" w:color="auto"/>
      </w:divBdr>
    </w:div>
    <w:div w:id="658273612">
      <w:bodyDiv w:val="1"/>
      <w:marLeft w:val="0"/>
      <w:marRight w:val="0"/>
      <w:marTop w:val="0"/>
      <w:marBottom w:val="0"/>
      <w:divBdr>
        <w:top w:val="none" w:sz="0" w:space="0" w:color="auto"/>
        <w:left w:val="none" w:sz="0" w:space="0" w:color="auto"/>
        <w:bottom w:val="none" w:sz="0" w:space="0" w:color="auto"/>
        <w:right w:val="none" w:sz="0" w:space="0" w:color="auto"/>
      </w:divBdr>
    </w:div>
    <w:div w:id="732119413">
      <w:bodyDiv w:val="1"/>
      <w:marLeft w:val="0"/>
      <w:marRight w:val="0"/>
      <w:marTop w:val="0"/>
      <w:marBottom w:val="0"/>
      <w:divBdr>
        <w:top w:val="none" w:sz="0" w:space="0" w:color="auto"/>
        <w:left w:val="none" w:sz="0" w:space="0" w:color="auto"/>
        <w:bottom w:val="none" w:sz="0" w:space="0" w:color="auto"/>
        <w:right w:val="none" w:sz="0" w:space="0" w:color="auto"/>
      </w:divBdr>
    </w:div>
    <w:div w:id="774516966">
      <w:bodyDiv w:val="1"/>
      <w:marLeft w:val="0"/>
      <w:marRight w:val="0"/>
      <w:marTop w:val="0"/>
      <w:marBottom w:val="0"/>
      <w:divBdr>
        <w:top w:val="none" w:sz="0" w:space="0" w:color="auto"/>
        <w:left w:val="none" w:sz="0" w:space="0" w:color="auto"/>
        <w:bottom w:val="none" w:sz="0" w:space="0" w:color="auto"/>
        <w:right w:val="none" w:sz="0" w:space="0" w:color="auto"/>
      </w:divBdr>
    </w:div>
    <w:div w:id="845052060">
      <w:bodyDiv w:val="1"/>
      <w:marLeft w:val="0"/>
      <w:marRight w:val="0"/>
      <w:marTop w:val="0"/>
      <w:marBottom w:val="0"/>
      <w:divBdr>
        <w:top w:val="none" w:sz="0" w:space="0" w:color="auto"/>
        <w:left w:val="none" w:sz="0" w:space="0" w:color="auto"/>
        <w:bottom w:val="none" w:sz="0" w:space="0" w:color="auto"/>
        <w:right w:val="none" w:sz="0" w:space="0" w:color="auto"/>
      </w:divBdr>
    </w:div>
    <w:div w:id="1187594429">
      <w:bodyDiv w:val="1"/>
      <w:marLeft w:val="0"/>
      <w:marRight w:val="0"/>
      <w:marTop w:val="0"/>
      <w:marBottom w:val="0"/>
      <w:divBdr>
        <w:top w:val="none" w:sz="0" w:space="0" w:color="auto"/>
        <w:left w:val="none" w:sz="0" w:space="0" w:color="auto"/>
        <w:bottom w:val="none" w:sz="0" w:space="0" w:color="auto"/>
        <w:right w:val="none" w:sz="0" w:space="0" w:color="auto"/>
      </w:divBdr>
    </w:div>
    <w:div w:id="1294403950">
      <w:bodyDiv w:val="1"/>
      <w:marLeft w:val="0"/>
      <w:marRight w:val="0"/>
      <w:marTop w:val="0"/>
      <w:marBottom w:val="0"/>
      <w:divBdr>
        <w:top w:val="none" w:sz="0" w:space="0" w:color="auto"/>
        <w:left w:val="none" w:sz="0" w:space="0" w:color="auto"/>
        <w:bottom w:val="none" w:sz="0" w:space="0" w:color="auto"/>
        <w:right w:val="none" w:sz="0" w:space="0" w:color="auto"/>
      </w:divBdr>
    </w:div>
    <w:div w:id="1305623918">
      <w:bodyDiv w:val="1"/>
      <w:marLeft w:val="0"/>
      <w:marRight w:val="0"/>
      <w:marTop w:val="0"/>
      <w:marBottom w:val="0"/>
      <w:divBdr>
        <w:top w:val="none" w:sz="0" w:space="0" w:color="auto"/>
        <w:left w:val="none" w:sz="0" w:space="0" w:color="auto"/>
        <w:bottom w:val="none" w:sz="0" w:space="0" w:color="auto"/>
        <w:right w:val="none" w:sz="0" w:space="0" w:color="auto"/>
      </w:divBdr>
    </w:div>
    <w:div w:id="1436368692">
      <w:bodyDiv w:val="1"/>
      <w:marLeft w:val="0"/>
      <w:marRight w:val="0"/>
      <w:marTop w:val="0"/>
      <w:marBottom w:val="0"/>
      <w:divBdr>
        <w:top w:val="none" w:sz="0" w:space="0" w:color="auto"/>
        <w:left w:val="none" w:sz="0" w:space="0" w:color="auto"/>
        <w:bottom w:val="none" w:sz="0" w:space="0" w:color="auto"/>
        <w:right w:val="none" w:sz="0" w:space="0" w:color="auto"/>
      </w:divBdr>
    </w:div>
    <w:div w:id="1596477193">
      <w:bodyDiv w:val="1"/>
      <w:marLeft w:val="0"/>
      <w:marRight w:val="0"/>
      <w:marTop w:val="0"/>
      <w:marBottom w:val="0"/>
      <w:divBdr>
        <w:top w:val="none" w:sz="0" w:space="0" w:color="auto"/>
        <w:left w:val="none" w:sz="0" w:space="0" w:color="auto"/>
        <w:bottom w:val="none" w:sz="0" w:space="0" w:color="auto"/>
        <w:right w:val="none" w:sz="0" w:space="0" w:color="auto"/>
      </w:divBdr>
    </w:div>
    <w:div w:id="1644503987">
      <w:bodyDiv w:val="1"/>
      <w:marLeft w:val="0"/>
      <w:marRight w:val="0"/>
      <w:marTop w:val="0"/>
      <w:marBottom w:val="0"/>
      <w:divBdr>
        <w:top w:val="none" w:sz="0" w:space="0" w:color="auto"/>
        <w:left w:val="none" w:sz="0" w:space="0" w:color="auto"/>
        <w:bottom w:val="none" w:sz="0" w:space="0" w:color="auto"/>
        <w:right w:val="none" w:sz="0" w:space="0" w:color="auto"/>
      </w:divBdr>
    </w:div>
    <w:div w:id="1771392850">
      <w:bodyDiv w:val="1"/>
      <w:marLeft w:val="0"/>
      <w:marRight w:val="0"/>
      <w:marTop w:val="0"/>
      <w:marBottom w:val="0"/>
      <w:divBdr>
        <w:top w:val="none" w:sz="0" w:space="0" w:color="auto"/>
        <w:left w:val="none" w:sz="0" w:space="0" w:color="auto"/>
        <w:bottom w:val="none" w:sz="0" w:space="0" w:color="auto"/>
        <w:right w:val="none" w:sz="0" w:space="0" w:color="auto"/>
      </w:divBdr>
    </w:div>
    <w:div w:id="1825581019">
      <w:bodyDiv w:val="1"/>
      <w:marLeft w:val="0"/>
      <w:marRight w:val="0"/>
      <w:marTop w:val="0"/>
      <w:marBottom w:val="0"/>
      <w:divBdr>
        <w:top w:val="none" w:sz="0" w:space="0" w:color="auto"/>
        <w:left w:val="none" w:sz="0" w:space="0" w:color="auto"/>
        <w:bottom w:val="none" w:sz="0" w:space="0" w:color="auto"/>
        <w:right w:val="none" w:sz="0" w:space="0" w:color="auto"/>
      </w:divBdr>
    </w:div>
    <w:div w:id="1874539715">
      <w:bodyDiv w:val="1"/>
      <w:marLeft w:val="0"/>
      <w:marRight w:val="0"/>
      <w:marTop w:val="0"/>
      <w:marBottom w:val="0"/>
      <w:divBdr>
        <w:top w:val="none" w:sz="0" w:space="0" w:color="auto"/>
        <w:left w:val="none" w:sz="0" w:space="0" w:color="auto"/>
        <w:bottom w:val="none" w:sz="0" w:space="0" w:color="auto"/>
        <w:right w:val="none" w:sz="0" w:space="0" w:color="auto"/>
      </w:divBdr>
    </w:div>
    <w:div w:id="1909800663">
      <w:bodyDiv w:val="1"/>
      <w:marLeft w:val="0"/>
      <w:marRight w:val="0"/>
      <w:marTop w:val="0"/>
      <w:marBottom w:val="0"/>
      <w:divBdr>
        <w:top w:val="none" w:sz="0" w:space="0" w:color="auto"/>
        <w:left w:val="none" w:sz="0" w:space="0" w:color="auto"/>
        <w:bottom w:val="none" w:sz="0" w:space="0" w:color="auto"/>
        <w:right w:val="none" w:sz="0" w:space="0" w:color="auto"/>
      </w:divBdr>
    </w:div>
    <w:div w:id="1934435354">
      <w:bodyDiv w:val="1"/>
      <w:marLeft w:val="0"/>
      <w:marRight w:val="0"/>
      <w:marTop w:val="0"/>
      <w:marBottom w:val="0"/>
      <w:divBdr>
        <w:top w:val="none" w:sz="0" w:space="0" w:color="auto"/>
        <w:left w:val="none" w:sz="0" w:space="0" w:color="auto"/>
        <w:bottom w:val="none" w:sz="0" w:space="0" w:color="auto"/>
        <w:right w:val="none" w:sz="0" w:space="0" w:color="auto"/>
      </w:divBdr>
    </w:div>
    <w:div w:id="1988973461">
      <w:bodyDiv w:val="1"/>
      <w:marLeft w:val="0"/>
      <w:marRight w:val="0"/>
      <w:marTop w:val="0"/>
      <w:marBottom w:val="0"/>
      <w:divBdr>
        <w:top w:val="single" w:sz="12" w:space="0" w:color="767575"/>
        <w:left w:val="none" w:sz="0" w:space="0" w:color="auto"/>
        <w:bottom w:val="none" w:sz="0" w:space="0" w:color="auto"/>
        <w:right w:val="none" w:sz="0" w:space="0" w:color="auto"/>
      </w:divBdr>
      <w:divsChild>
        <w:div w:id="766929610">
          <w:marLeft w:val="0"/>
          <w:marRight w:val="0"/>
          <w:marTop w:val="0"/>
          <w:marBottom w:val="0"/>
          <w:divBdr>
            <w:top w:val="none" w:sz="0" w:space="0" w:color="auto"/>
            <w:left w:val="none" w:sz="0" w:space="0" w:color="auto"/>
            <w:bottom w:val="none" w:sz="0" w:space="0" w:color="auto"/>
            <w:right w:val="none" w:sz="0" w:space="0" w:color="auto"/>
          </w:divBdr>
          <w:divsChild>
            <w:div w:id="483006880">
              <w:marLeft w:val="0"/>
              <w:marRight w:val="0"/>
              <w:marTop w:val="0"/>
              <w:marBottom w:val="0"/>
              <w:divBdr>
                <w:top w:val="none" w:sz="0" w:space="0" w:color="auto"/>
                <w:left w:val="none" w:sz="0" w:space="0" w:color="auto"/>
                <w:bottom w:val="none" w:sz="0" w:space="0" w:color="auto"/>
                <w:right w:val="none" w:sz="0" w:space="0" w:color="auto"/>
              </w:divBdr>
              <w:divsChild>
                <w:div w:id="566960768">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407649483">
                      <w:marLeft w:val="0"/>
                      <w:marRight w:val="0"/>
                      <w:marTop w:val="0"/>
                      <w:marBottom w:val="0"/>
                      <w:divBdr>
                        <w:top w:val="none" w:sz="0" w:space="0" w:color="auto"/>
                        <w:left w:val="none" w:sz="0" w:space="0" w:color="auto"/>
                        <w:bottom w:val="none" w:sz="0" w:space="0" w:color="auto"/>
                        <w:right w:val="none" w:sz="0" w:space="0" w:color="auto"/>
                      </w:divBdr>
                      <w:divsChild>
                        <w:div w:id="976179288">
                          <w:marLeft w:val="0"/>
                          <w:marRight w:val="0"/>
                          <w:marTop w:val="0"/>
                          <w:marBottom w:val="0"/>
                          <w:divBdr>
                            <w:top w:val="none" w:sz="0" w:space="0" w:color="auto"/>
                            <w:left w:val="none" w:sz="0" w:space="0" w:color="auto"/>
                            <w:bottom w:val="none" w:sz="0" w:space="0" w:color="auto"/>
                            <w:right w:val="none" w:sz="0" w:space="0" w:color="auto"/>
                          </w:divBdr>
                          <w:divsChild>
                            <w:div w:id="587693133">
                              <w:marLeft w:val="0"/>
                              <w:marRight w:val="0"/>
                              <w:marTop w:val="0"/>
                              <w:marBottom w:val="0"/>
                              <w:divBdr>
                                <w:top w:val="none" w:sz="0" w:space="0" w:color="auto"/>
                                <w:left w:val="none" w:sz="0" w:space="0" w:color="auto"/>
                                <w:bottom w:val="none" w:sz="0" w:space="0" w:color="auto"/>
                                <w:right w:val="none" w:sz="0" w:space="0" w:color="auto"/>
                              </w:divBdr>
                              <w:divsChild>
                                <w:div w:id="1173836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548855">
      <w:bodyDiv w:val="1"/>
      <w:marLeft w:val="0"/>
      <w:marRight w:val="0"/>
      <w:marTop w:val="0"/>
      <w:marBottom w:val="0"/>
      <w:divBdr>
        <w:top w:val="none" w:sz="0" w:space="0" w:color="auto"/>
        <w:left w:val="none" w:sz="0" w:space="0" w:color="auto"/>
        <w:bottom w:val="none" w:sz="0" w:space="0" w:color="auto"/>
        <w:right w:val="none" w:sz="0" w:space="0" w:color="auto"/>
      </w:divBdr>
    </w:div>
    <w:div w:id="2044867672">
      <w:bodyDiv w:val="1"/>
      <w:marLeft w:val="0"/>
      <w:marRight w:val="0"/>
      <w:marTop w:val="0"/>
      <w:marBottom w:val="0"/>
      <w:divBdr>
        <w:top w:val="none" w:sz="0" w:space="0" w:color="auto"/>
        <w:left w:val="none" w:sz="0" w:space="0" w:color="auto"/>
        <w:bottom w:val="none" w:sz="0" w:space="0" w:color="auto"/>
        <w:right w:val="none" w:sz="0" w:space="0" w:color="auto"/>
      </w:divBdr>
    </w:div>
    <w:div w:id="205319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C7A3E-ACEA-4D2D-8526-5E23B4B8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7532</Words>
  <Characters>44648</Characters>
  <Application>Microsoft Office Word</Application>
  <DocSecurity>4</DocSecurity>
  <Lines>372</Lines>
  <Paragraphs>104</Paragraphs>
  <ScaleCrop>false</ScaleCrop>
  <HeadingPairs>
    <vt:vector size="2" baseType="variant">
      <vt:variant>
        <vt:lpstr>Title</vt:lpstr>
      </vt:variant>
      <vt:variant>
        <vt:i4>1</vt:i4>
      </vt:variant>
    </vt:vector>
  </HeadingPairs>
  <TitlesOfParts>
    <vt:vector size="1" baseType="lpstr">
      <vt:lpstr>Memo</vt:lpstr>
    </vt:vector>
  </TitlesOfParts>
  <Company/>
  <LinksUpToDate>false</LinksUpToDate>
  <CharactersWithSpaces>52076</CharactersWithSpaces>
  <SharedDoc>false</SharedDoc>
  <HLinks>
    <vt:vector size="12" baseType="variant">
      <vt:variant>
        <vt:i4>5242952</vt:i4>
      </vt:variant>
      <vt:variant>
        <vt:i4>3</vt:i4>
      </vt:variant>
      <vt:variant>
        <vt:i4>0</vt:i4>
      </vt:variant>
      <vt:variant>
        <vt:i4>5</vt:i4>
      </vt:variant>
      <vt:variant>
        <vt:lpwstr>http://www.cms.gov/AcuteInpatientPPS/</vt:lpwstr>
      </vt:variant>
      <vt:variant>
        <vt:lpwstr/>
      </vt: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dc:creator>Brenda-113</dc:creator>
  <cp:lastModifiedBy>Medrano, Perla</cp:lastModifiedBy>
  <cp:revision>2</cp:revision>
  <cp:lastPrinted>2013-12-20T19:27:00Z</cp:lastPrinted>
  <dcterms:created xsi:type="dcterms:W3CDTF">2013-12-20T19:28:00Z</dcterms:created>
  <dcterms:modified xsi:type="dcterms:W3CDTF">2013-12-20T19:28:00Z</dcterms:modified>
</cp:coreProperties>
</file>