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CD3" w:rsidRPr="00BD157E" w:rsidRDefault="007C5CEF" w:rsidP="007C5CEF">
      <w:pPr>
        <w:jc w:val="center"/>
        <w:rPr>
          <w:sz w:val="22"/>
        </w:rPr>
      </w:pPr>
      <w:bookmarkStart w:id="0" w:name="_GoBack"/>
      <w:bookmarkEnd w:id="0"/>
      <w:r w:rsidRPr="00BD157E">
        <w:rPr>
          <w:noProof/>
          <w:sz w:val="22"/>
        </w:rPr>
        <w:drawing>
          <wp:inline distT="0" distB="0" distL="0" distR="0" wp14:anchorId="05CC03DE" wp14:editId="7EBD053B">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7C5CEF" w:rsidRPr="00BD157E" w:rsidRDefault="007C5CEF" w:rsidP="007C5CEF">
      <w:pPr>
        <w:jc w:val="center"/>
        <w:rPr>
          <w:sz w:val="22"/>
        </w:rPr>
      </w:pPr>
    </w:p>
    <w:p w:rsidR="007C5CEF" w:rsidRPr="00BD157E" w:rsidRDefault="007C5CEF" w:rsidP="007C5CEF">
      <w:pPr>
        <w:pStyle w:val="MessageHeader"/>
        <w:spacing w:after="0" w:line="240" w:lineRule="auto"/>
        <w:jc w:val="center"/>
        <w:rPr>
          <w:rFonts w:cs="Arial"/>
          <w:color w:val="auto"/>
          <w:spacing w:val="0"/>
          <w:position w:val="-12"/>
          <w:sz w:val="22"/>
          <w:szCs w:val="22"/>
        </w:rPr>
      </w:pPr>
      <w:r w:rsidRPr="00BD157E">
        <w:rPr>
          <w:rFonts w:cs="Arial"/>
          <w:color w:val="auto"/>
          <w:spacing w:val="12"/>
          <w:position w:val="-12"/>
          <w:sz w:val="22"/>
          <w:szCs w:val="22"/>
        </w:rPr>
        <w:t>California Workers’ Compensation Institute</w:t>
      </w:r>
    </w:p>
    <w:p w:rsidR="007C5CEF" w:rsidRPr="00BD157E" w:rsidRDefault="007C5CEF" w:rsidP="007C5CEF">
      <w:pPr>
        <w:jc w:val="center"/>
        <w:rPr>
          <w:sz w:val="22"/>
        </w:rPr>
      </w:pPr>
      <w:r w:rsidRPr="00BD157E">
        <w:rPr>
          <w:sz w:val="22"/>
        </w:rPr>
        <w:t>1111 Broadway Suite 2350, Oakland, CA 94607 • Tel: (510) 251-9470 • Fax: (510) 763-1592</w:t>
      </w:r>
    </w:p>
    <w:p w:rsidR="007C5CEF" w:rsidRPr="00BD157E" w:rsidRDefault="007C5CEF" w:rsidP="007C5CEF">
      <w:pPr>
        <w:pStyle w:val="MessageHeader"/>
        <w:spacing w:after="0" w:line="240" w:lineRule="auto"/>
        <w:ind w:left="0" w:firstLine="0"/>
        <w:jc w:val="center"/>
        <w:rPr>
          <w:rFonts w:cs="Arial"/>
          <w:color w:val="auto"/>
          <w:spacing w:val="0"/>
          <w:sz w:val="22"/>
          <w:szCs w:val="22"/>
        </w:rPr>
      </w:pPr>
    </w:p>
    <w:p w:rsidR="007C5CEF" w:rsidRPr="00BD157E" w:rsidRDefault="007C5CEF" w:rsidP="007C5CEF">
      <w:pPr>
        <w:pStyle w:val="MessageHeader"/>
        <w:spacing w:after="0" w:line="240" w:lineRule="auto"/>
        <w:jc w:val="center"/>
        <w:rPr>
          <w:rStyle w:val="MessageHeaderLabel"/>
          <w:rFonts w:ascii="Arial" w:hAnsi="Arial" w:cs="Arial"/>
          <w:color w:val="auto"/>
          <w:spacing w:val="0"/>
          <w:sz w:val="22"/>
          <w:szCs w:val="22"/>
        </w:rPr>
      </w:pPr>
      <w:r w:rsidRPr="00BD157E">
        <w:rPr>
          <w:rStyle w:val="MessageHeaderLabel"/>
          <w:rFonts w:ascii="Arial" w:hAnsi="Arial" w:cs="Arial"/>
          <w:color w:val="auto"/>
          <w:spacing w:val="0"/>
          <w:sz w:val="22"/>
          <w:szCs w:val="22"/>
        </w:rPr>
        <w:t>July 10, 2015</w:t>
      </w:r>
    </w:p>
    <w:p w:rsidR="007C5CEF" w:rsidRPr="00BD157E" w:rsidRDefault="007C5CEF" w:rsidP="007C5CEF">
      <w:pPr>
        <w:pStyle w:val="MessageHeader"/>
        <w:spacing w:after="0" w:line="240" w:lineRule="auto"/>
        <w:ind w:left="0" w:firstLine="0"/>
        <w:jc w:val="center"/>
        <w:rPr>
          <w:rFonts w:cs="Arial"/>
          <w:color w:val="auto"/>
          <w:spacing w:val="0"/>
          <w:sz w:val="22"/>
          <w:szCs w:val="22"/>
        </w:rPr>
      </w:pPr>
    </w:p>
    <w:p w:rsidR="007C5CEF" w:rsidRPr="00BD157E" w:rsidRDefault="007C5CEF" w:rsidP="007C5CEF">
      <w:pPr>
        <w:pStyle w:val="MessageHeader"/>
        <w:spacing w:after="0" w:line="240" w:lineRule="auto"/>
        <w:ind w:left="5040" w:firstLine="0"/>
        <w:rPr>
          <w:rStyle w:val="MessageHeaderLabel"/>
          <w:rFonts w:cs="Arial"/>
          <w:color w:val="auto"/>
          <w:spacing w:val="0"/>
          <w:sz w:val="22"/>
          <w:szCs w:val="22"/>
          <w:u w:val="single"/>
        </w:rPr>
      </w:pPr>
    </w:p>
    <w:p w:rsidR="007C5CEF" w:rsidRPr="00BD157E" w:rsidRDefault="007C5CEF" w:rsidP="007C5CEF">
      <w:pPr>
        <w:pStyle w:val="MessageHeader"/>
        <w:spacing w:after="0" w:line="240" w:lineRule="auto"/>
        <w:jc w:val="both"/>
        <w:rPr>
          <w:rStyle w:val="Hyperlink"/>
          <w:rFonts w:cs="Arial"/>
          <w:color w:val="auto"/>
          <w:sz w:val="22"/>
          <w:szCs w:val="22"/>
        </w:rPr>
      </w:pPr>
      <w:r w:rsidRPr="00BD157E">
        <w:rPr>
          <w:rStyle w:val="MessageHeaderLabel"/>
          <w:rFonts w:ascii="Arial" w:hAnsi="Arial" w:cs="Arial"/>
          <w:b/>
          <w:color w:val="auto"/>
          <w:spacing w:val="0"/>
          <w:sz w:val="22"/>
          <w:szCs w:val="22"/>
        </w:rPr>
        <w:t>VIA E-MAIL</w:t>
      </w:r>
      <w:r w:rsidRPr="00BD157E">
        <w:rPr>
          <w:rStyle w:val="MessageHeaderLabel"/>
          <w:rFonts w:ascii="Arial" w:hAnsi="Arial" w:cs="Arial"/>
          <w:color w:val="auto"/>
          <w:spacing w:val="0"/>
          <w:sz w:val="22"/>
          <w:szCs w:val="22"/>
        </w:rPr>
        <w:t xml:space="preserve"> to </w:t>
      </w:r>
      <w:hyperlink r:id="rId8" w:history="1">
        <w:r w:rsidR="00F80C89" w:rsidRPr="00BD157E">
          <w:rPr>
            <w:rStyle w:val="Hyperlink"/>
            <w:rFonts w:cs="Arial"/>
            <w:sz w:val="22"/>
            <w:szCs w:val="22"/>
            <w:lang w:val="en"/>
          </w:rPr>
          <w:t>WCABRules@dir.ca.gov</w:t>
        </w:r>
      </w:hyperlink>
      <w:r w:rsidR="00F80C89" w:rsidRPr="00BD157E">
        <w:rPr>
          <w:rFonts w:cs="Arial"/>
          <w:color w:val="333333"/>
          <w:sz w:val="22"/>
          <w:szCs w:val="22"/>
          <w:lang w:val="en"/>
        </w:rPr>
        <w:t>.</w:t>
      </w:r>
    </w:p>
    <w:p w:rsidR="007C5CEF" w:rsidRPr="00BD157E" w:rsidRDefault="007C5CEF" w:rsidP="007C5CEF">
      <w:pPr>
        <w:pStyle w:val="MessageHeader"/>
        <w:spacing w:after="0" w:line="240" w:lineRule="auto"/>
        <w:ind w:left="0" w:firstLine="0"/>
        <w:jc w:val="both"/>
        <w:rPr>
          <w:rFonts w:cs="Arial"/>
          <w:color w:val="auto"/>
          <w:spacing w:val="0"/>
          <w:sz w:val="22"/>
          <w:szCs w:val="22"/>
        </w:rPr>
      </w:pPr>
    </w:p>
    <w:p w:rsidR="007C5CEF" w:rsidRPr="00BD157E" w:rsidRDefault="007C5CEF" w:rsidP="007C5CEF">
      <w:pPr>
        <w:pStyle w:val="MessageHeader"/>
        <w:spacing w:after="0" w:line="240" w:lineRule="auto"/>
        <w:rPr>
          <w:rStyle w:val="MessageHeaderLabel"/>
          <w:rFonts w:cs="Arial"/>
          <w:color w:val="auto"/>
          <w:spacing w:val="0"/>
          <w:sz w:val="22"/>
          <w:szCs w:val="22"/>
        </w:rPr>
      </w:pPr>
    </w:p>
    <w:p w:rsidR="007C5CEF" w:rsidRPr="00BD157E" w:rsidRDefault="007C5CEF" w:rsidP="007C5CEF">
      <w:pPr>
        <w:pStyle w:val="MessageHeader"/>
        <w:spacing w:after="0" w:line="240" w:lineRule="auto"/>
        <w:rPr>
          <w:rStyle w:val="MessageHeaderLabel"/>
          <w:rFonts w:cs="Arial"/>
          <w:color w:val="auto"/>
          <w:spacing w:val="0"/>
          <w:sz w:val="22"/>
          <w:szCs w:val="22"/>
        </w:rPr>
      </w:pPr>
    </w:p>
    <w:p w:rsidR="007C5CEF" w:rsidRPr="00BD157E" w:rsidRDefault="007C5CEF" w:rsidP="007C5CEF">
      <w:pPr>
        <w:pStyle w:val="MessageHeader"/>
        <w:spacing w:after="0" w:line="240" w:lineRule="auto"/>
        <w:rPr>
          <w:rStyle w:val="MessageHeaderLabel"/>
          <w:rFonts w:cs="Arial"/>
          <w:color w:val="auto"/>
          <w:spacing w:val="0"/>
          <w:sz w:val="22"/>
          <w:szCs w:val="22"/>
        </w:rPr>
      </w:pPr>
    </w:p>
    <w:p w:rsidR="007C5CEF" w:rsidRDefault="007C5CEF" w:rsidP="007C5CEF">
      <w:pPr>
        <w:keepLines/>
        <w:tabs>
          <w:tab w:val="left" w:pos="900"/>
        </w:tabs>
        <w:rPr>
          <w:sz w:val="22"/>
        </w:rPr>
      </w:pPr>
      <w:r w:rsidRPr="00BD157E">
        <w:rPr>
          <w:sz w:val="22"/>
        </w:rPr>
        <w:t>Workers' Compensation Appeals Board (WCAB)</w:t>
      </w:r>
      <w:r w:rsidRPr="00BD157E">
        <w:rPr>
          <w:sz w:val="22"/>
        </w:rPr>
        <w:br/>
        <w:t xml:space="preserve">Attn: WCAB forums </w:t>
      </w:r>
      <w:r w:rsidRPr="00BD157E">
        <w:rPr>
          <w:sz w:val="22"/>
        </w:rPr>
        <w:br/>
        <w:t>P.O. Box 429459</w:t>
      </w:r>
      <w:r w:rsidRPr="00BD157E">
        <w:rPr>
          <w:sz w:val="22"/>
        </w:rPr>
        <w:br/>
        <w:t>San Francisco, CA 94142-9459</w:t>
      </w:r>
    </w:p>
    <w:p w:rsidR="007A6530" w:rsidRPr="00BD157E" w:rsidRDefault="007A6530" w:rsidP="007C5CEF">
      <w:pPr>
        <w:keepLines/>
        <w:tabs>
          <w:tab w:val="left" w:pos="900"/>
        </w:tabs>
        <w:rPr>
          <w:sz w:val="22"/>
        </w:rPr>
      </w:pPr>
    </w:p>
    <w:p w:rsidR="007C5CEF" w:rsidRPr="00BD157E" w:rsidRDefault="007C5CEF" w:rsidP="007C5CEF">
      <w:pPr>
        <w:pStyle w:val="MessageHeader"/>
        <w:spacing w:after="0" w:line="240" w:lineRule="auto"/>
        <w:rPr>
          <w:rStyle w:val="MessageHeaderLabel"/>
          <w:rFonts w:cs="Arial"/>
          <w:color w:val="auto"/>
          <w:spacing w:val="0"/>
          <w:sz w:val="22"/>
          <w:szCs w:val="22"/>
        </w:rPr>
      </w:pPr>
    </w:p>
    <w:p w:rsidR="0087168E" w:rsidRDefault="007C5CEF" w:rsidP="007C5CEF">
      <w:pPr>
        <w:spacing w:line="240" w:lineRule="atLeast"/>
        <w:rPr>
          <w:sz w:val="22"/>
        </w:rPr>
      </w:pPr>
      <w:r w:rsidRPr="00BD157E">
        <w:rPr>
          <w:b/>
          <w:sz w:val="22"/>
        </w:rPr>
        <w:t>RE</w:t>
      </w:r>
      <w:r w:rsidRPr="00BD157E">
        <w:rPr>
          <w:sz w:val="22"/>
        </w:rPr>
        <w:t xml:space="preserve">:  Rules of Practice and Procedure </w:t>
      </w:r>
    </w:p>
    <w:p w:rsidR="007C5CEF" w:rsidRPr="00BD157E" w:rsidRDefault="007C5CEF" w:rsidP="007C5CEF">
      <w:pPr>
        <w:spacing w:line="240" w:lineRule="atLeast"/>
        <w:rPr>
          <w:sz w:val="22"/>
          <w:lang w:val="en"/>
        </w:rPr>
      </w:pPr>
      <w:r w:rsidRPr="00BD157E">
        <w:rPr>
          <w:sz w:val="22"/>
        </w:rPr>
        <w:t>Article 1-Section 10300 through Article 7Section 10498</w:t>
      </w:r>
      <w:r w:rsidRPr="00BD157E">
        <w:rPr>
          <w:sz w:val="22"/>
          <w:lang w:val="en"/>
        </w:rPr>
        <w:t xml:space="preserve"> </w:t>
      </w:r>
    </w:p>
    <w:p w:rsidR="007C5CEF" w:rsidRPr="00BD157E" w:rsidRDefault="007C5CEF" w:rsidP="007C5CEF">
      <w:pPr>
        <w:spacing w:line="240" w:lineRule="atLeast"/>
        <w:rPr>
          <w:b/>
          <w:sz w:val="22"/>
        </w:rPr>
      </w:pPr>
      <w:r w:rsidRPr="00BD157E">
        <w:rPr>
          <w:sz w:val="22"/>
        </w:rPr>
        <w:t>Article 4 Section 10485 through Article 12 Section 10615</w:t>
      </w:r>
    </w:p>
    <w:p w:rsidR="007C5CEF" w:rsidRPr="00BD157E" w:rsidRDefault="007C5CEF" w:rsidP="007C5CEF">
      <w:pPr>
        <w:rPr>
          <w:sz w:val="22"/>
        </w:rPr>
      </w:pPr>
    </w:p>
    <w:p w:rsidR="007C5CEF" w:rsidRPr="00BD157E" w:rsidRDefault="007C5CEF" w:rsidP="007C5CEF">
      <w:pPr>
        <w:rPr>
          <w:sz w:val="22"/>
        </w:rPr>
      </w:pPr>
    </w:p>
    <w:p w:rsidR="007C5CEF" w:rsidRPr="00BD157E" w:rsidRDefault="007C5CEF" w:rsidP="007C5CEF">
      <w:pPr>
        <w:rPr>
          <w:sz w:val="22"/>
        </w:rPr>
      </w:pPr>
    </w:p>
    <w:p w:rsidR="007C5CEF" w:rsidRPr="00BD157E" w:rsidRDefault="007C5CEF" w:rsidP="007C5CEF">
      <w:pPr>
        <w:keepLines/>
        <w:tabs>
          <w:tab w:val="left" w:pos="900"/>
        </w:tabs>
        <w:rPr>
          <w:sz w:val="22"/>
        </w:rPr>
      </w:pPr>
      <w:r w:rsidRPr="00BD157E">
        <w:rPr>
          <w:sz w:val="22"/>
        </w:rPr>
        <w:t xml:space="preserve">These comments on modifications to proposed </w:t>
      </w:r>
      <w:r w:rsidR="00F80C89" w:rsidRPr="00BD157E">
        <w:rPr>
          <w:sz w:val="22"/>
        </w:rPr>
        <w:t>WCAB Rules</w:t>
      </w:r>
      <w:r w:rsidRPr="00BD157E">
        <w:rPr>
          <w:sz w:val="22"/>
        </w:rPr>
        <w:t xml:space="preserve"> are presented on behalf of members of the California Workers' Compensation Institute (the Institute).  Institute members include insurers writing 7</w:t>
      </w:r>
      <w:r w:rsidR="00F80C89" w:rsidRPr="00BD157E">
        <w:rPr>
          <w:sz w:val="22"/>
        </w:rPr>
        <w:t>2</w:t>
      </w:r>
      <w:r w:rsidRPr="00BD157E">
        <w:rPr>
          <w:sz w:val="22"/>
        </w:rPr>
        <w:t xml:space="preserve">% of California’s workers’ compensation premium, and self-insured employers </w:t>
      </w:r>
      <w:r w:rsidR="00F80C89" w:rsidRPr="00BD157E">
        <w:rPr>
          <w:sz w:val="22"/>
        </w:rPr>
        <w:t xml:space="preserve">accounting for </w:t>
      </w:r>
      <w:r w:rsidRPr="00BD157E">
        <w:rPr>
          <w:sz w:val="22"/>
        </w:rPr>
        <w:t>2</w:t>
      </w:r>
      <w:r w:rsidR="00F80C89" w:rsidRPr="00BD157E">
        <w:rPr>
          <w:sz w:val="22"/>
        </w:rPr>
        <w:t>8</w:t>
      </w:r>
      <w:r w:rsidRPr="00BD157E">
        <w:rPr>
          <w:sz w:val="22"/>
        </w:rPr>
        <w:t xml:space="preserve">% of the state’s total annual self-insured payroll.  </w:t>
      </w:r>
    </w:p>
    <w:p w:rsidR="007C5CEF" w:rsidRPr="00BD157E" w:rsidRDefault="007C5CEF" w:rsidP="007C5CEF">
      <w:pPr>
        <w:keepLines/>
        <w:tabs>
          <w:tab w:val="left" w:pos="900"/>
        </w:tabs>
        <w:rPr>
          <w:sz w:val="22"/>
        </w:rPr>
      </w:pPr>
    </w:p>
    <w:p w:rsidR="007C5CEF" w:rsidRPr="00BD157E" w:rsidRDefault="007C5CEF" w:rsidP="007C5CEF">
      <w:pPr>
        <w:keepLines/>
        <w:tabs>
          <w:tab w:val="left" w:pos="900"/>
        </w:tabs>
        <w:rPr>
          <w:sz w:val="22"/>
        </w:rPr>
      </w:pPr>
      <w:r w:rsidRPr="00BD157E">
        <w:rPr>
          <w:sz w:val="22"/>
        </w:rPr>
        <w:t>Insurer members of the Institute include ACE, AIG, Alas</w:t>
      </w:r>
      <w:r w:rsidR="007A6530">
        <w:rPr>
          <w:sz w:val="22"/>
        </w:rPr>
        <w:t xml:space="preserve">ka National Insurance Company, Allianz (Fireman’s Fund Insurance Company), </w:t>
      </w:r>
      <w:r w:rsidRPr="00BD157E">
        <w:rPr>
          <w:sz w:val="22"/>
        </w:rPr>
        <w:t xml:space="preserve">AmTrust North America, Chubb Group, CNA, </w:t>
      </w:r>
      <w:proofErr w:type="spellStart"/>
      <w:r w:rsidRPr="00BD157E">
        <w:rPr>
          <w:sz w:val="22"/>
        </w:rPr>
        <w:t>CompWest</w:t>
      </w:r>
      <w:proofErr w:type="spellEnd"/>
      <w:r w:rsidRPr="00BD157E">
        <w:rPr>
          <w:sz w:val="22"/>
        </w:rPr>
        <w:t xml:space="preserve"> Insurance Company, Crum &amp; Forster, Employers, Everest National Insurance Compa</w:t>
      </w:r>
      <w:r w:rsidR="007A6530">
        <w:rPr>
          <w:sz w:val="22"/>
        </w:rPr>
        <w:t>ny,</w:t>
      </w:r>
      <w:r w:rsidRPr="00BD157E">
        <w:rPr>
          <w:sz w:val="22"/>
        </w:rPr>
        <w:t xml:space="preserve"> The Hartford, ICW Group, Liberty Mutual Insurance, Pacific Compensation Insurance Company, Preferred Employers Group, </w:t>
      </w:r>
      <w:r w:rsidR="007A6530">
        <w:rPr>
          <w:sz w:val="22"/>
        </w:rPr>
        <w:t xml:space="preserve">Republic Indemnity Company of America, </w:t>
      </w:r>
      <w:r w:rsidR="0090737C">
        <w:rPr>
          <w:sz w:val="22"/>
        </w:rPr>
        <w:t>Sentry Insurance,</w:t>
      </w:r>
      <w:r w:rsidRPr="00BD157E">
        <w:rPr>
          <w:sz w:val="22"/>
        </w:rPr>
        <w:t xml:space="preserve"> State Compensation Insurance Fund, State Farm Insurance Companies, Travelers, XL America, Zenith Insurance Company, and Zurich North America.</w:t>
      </w:r>
    </w:p>
    <w:p w:rsidR="007C5CEF" w:rsidRPr="00BD157E" w:rsidRDefault="007C5CEF" w:rsidP="007C5CEF">
      <w:pPr>
        <w:keepLines/>
        <w:tabs>
          <w:tab w:val="left" w:pos="900"/>
        </w:tabs>
        <w:rPr>
          <w:sz w:val="22"/>
        </w:rPr>
      </w:pPr>
    </w:p>
    <w:p w:rsidR="007C5CEF" w:rsidRPr="00BD157E" w:rsidRDefault="007C5CEF" w:rsidP="007C5CEF">
      <w:pPr>
        <w:keepLines/>
        <w:tabs>
          <w:tab w:val="left" w:pos="900"/>
        </w:tabs>
        <w:rPr>
          <w:sz w:val="22"/>
        </w:rPr>
      </w:pPr>
      <w:r w:rsidRPr="00BD157E">
        <w:rPr>
          <w:sz w:val="22"/>
        </w:rPr>
        <w:t xml:space="preserve">Self-insured employer members are Adventist Health, </w:t>
      </w:r>
      <w:r w:rsidR="0090737C">
        <w:rPr>
          <w:sz w:val="22"/>
        </w:rPr>
        <w:t xml:space="preserve">California State University Risk Management Authority, </w:t>
      </w:r>
      <w:r w:rsidRPr="00BD157E">
        <w:rPr>
          <w:sz w:val="22"/>
        </w:rPr>
        <w:t xml:space="preserve">Chevron Corporation, City and County of San Francisco, City of Santa Ana, City of Torrance, Contra Costa County Schools Insurance Group, Costco Wholesale, </w:t>
      </w:r>
      <w:r w:rsidR="0090737C">
        <w:rPr>
          <w:sz w:val="22"/>
        </w:rPr>
        <w:t xml:space="preserve">County of Alameda, </w:t>
      </w:r>
      <w:r w:rsidRPr="00BD157E">
        <w:rPr>
          <w:sz w:val="22"/>
        </w:rPr>
        <w:t xml:space="preserve">County of 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w:t>
      </w:r>
      <w:r w:rsidR="0090737C">
        <w:rPr>
          <w:sz w:val="22"/>
        </w:rPr>
        <w:t xml:space="preserve">Special District Risk Management Authority, </w:t>
      </w:r>
      <w:r w:rsidRPr="00BD157E">
        <w:rPr>
          <w:sz w:val="22"/>
        </w:rPr>
        <w:t xml:space="preserve">Sutter Health, University of California, and The Walt Disney Company. </w:t>
      </w:r>
    </w:p>
    <w:p w:rsidR="00F01CDE" w:rsidRPr="00BD157E" w:rsidRDefault="00F01CDE" w:rsidP="002D746C">
      <w:pPr>
        <w:rPr>
          <w:b/>
          <w:sz w:val="22"/>
        </w:rPr>
      </w:pPr>
      <w:r w:rsidRPr="00BD157E">
        <w:rPr>
          <w:b/>
          <w:sz w:val="22"/>
        </w:rPr>
        <w:lastRenderedPageBreak/>
        <w:t xml:space="preserve">Section 10352 </w:t>
      </w:r>
      <w:r w:rsidR="00BD157E">
        <w:rPr>
          <w:b/>
          <w:sz w:val="22"/>
        </w:rPr>
        <w:t xml:space="preserve">-- </w:t>
      </w:r>
      <w:r w:rsidRPr="00BD157E">
        <w:rPr>
          <w:b/>
          <w:sz w:val="22"/>
        </w:rPr>
        <w:t>Joinder</w:t>
      </w:r>
    </w:p>
    <w:p w:rsidR="00F01CDE" w:rsidRPr="00BD157E" w:rsidRDefault="00F01CDE" w:rsidP="002D746C">
      <w:pPr>
        <w:rPr>
          <w:b/>
          <w:sz w:val="22"/>
        </w:rPr>
      </w:pPr>
      <w:r w:rsidRPr="00BD157E">
        <w:rPr>
          <w:b/>
          <w:sz w:val="22"/>
        </w:rPr>
        <w:t xml:space="preserve">Recommendation </w:t>
      </w:r>
    </w:p>
    <w:p w:rsidR="000E06E8" w:rsidRPr="00BD157E" w:rsidRDefault="000E06E8" w:rsidP="002D746C">
      <w:pPr>
        <w:rPr>
          <w:sz w:val="22"/>
        </w:rPr>
      </w:pPr>
      <w:r w:rsidRPr="00BD157E">
        <w:rPr>
          <w:sz w:val="22"/>
        </w:rPr>
        <w:t xml:space="preserve">After filing of an Application for Adjudication, the Appeals Board or a workers' compensation judge may </w:t>
      </w:r>
      <w:r w:rsidRPr="00BD157E">
        <w:rPr>
          <w:b/>
          <w:i/>
          <w:sz w:val="22"/>
        </w:rPr>
        <w:t xml:space="preserve">issue a notice of intent to </w:t>
      </w:r>
      <w:r w:rsidRPr="00BD157E">
        <w:rPr>
          <w:sz w:val="22"/>
        </w:rPr>
        <w:t xml:space="preserve">order the joinder of additional parties necessary for the full adjudication of the case </w:t>
      </w:r>
      <w:r w:rsidRPr="00BD157E">
        <w:rPr>
          <w:b/>
          <w:i/>
          <w:sz w:val="22"/>
        </w:rPr>
        <w:t>and provide</w:t>
      </w:r>
      <w:r w:rsidRPr="00BD157E">
        <w:rPr>
          <w:sz w:val="22"/>
        </w:rPr>
        <w:t xml:space="preserve"> </w:t>
      </w:r>
      <w:r w:rsidRPr="00BD157E">
        <w:rPr>
          <w:b/>
          <w:i/>
          <w:sz w:val="22"/>
        </w:rPr>
        <w:t>adequate time for any objections to be heard</w:t>
      </w:r>
      <w:r w:rsidRPr="00BD157E">
        <w:rPr>
          <w:sz w:val="22"/>
        </w:rPr>
        <w:t>.</w:t>
      </w:r>
    </w:p>
    <w:p w:rsidR="00F01CDE" w:rsidRPr="00BD157E" w:rsidRDefault="00F01CDE" w:rsidP="002D746C">
      <w:pPr>
        <w:rPr>
          <w:sz w:val="22"/>
        </w:rPr>
      </w:pPr>
    </w:p>
    <w:p w:rsidR="000E06E8" w:rsidRPr="00BD157E" w:rsidRDefault="00F01CDE" w:rsidP="000E06E8">
      <w:pPr>
        <w:rPr>
          <w:b/>
          <w:sz w:val="22"/>
        </w:rPr>
      </w:pPr>
      <w:r w:rsidRPr="00BD157E">
        <w:rPr>
          <w:b/>
          <w:sz w:val="22"/>
        </w:rPr>
        <w:t xml:space="preserve">Discussion </w:t>
      </w:r>
    </w:p>
    <w:p w:rsidR="000E06E8" w:rsidRPr="00BD157E" w:rsidRDefault="000E06E8" w:rsidP="000E06E8">
      <w:pPr>
        <w:rPr>
          <w:sz w:val="22"/>
        </w:rPr>
      </w:pPr>
      <w:r w:rsidRPr="00BD157E">
        <w:rPr>
          <w:sz w:val="22"/>
        </w:rPr>
        <w:t xml:space="preserve">The party or parties to be joined should be given adequate time to file an appropriate objection and have that ruled on prior to joinder.  It is not unusual </w:t>
      </w:r>
      <w:r w:rsidR="00A23DFA" w:rsidRPr="00BD157E">
        <w:rPr>
          <w:sz w:val="22"/>
        </w:rPr>
        <w:t>for overbroad requests for joinder to be filed and any objections from a prospective party should be determined at the outset.</w:t>
      </w:r>
    </w:p>
    <w:p w:rsidR="00F01CDE" w:rsidRPr="00BD157E" w:rsidRDefault="00F01CDE" w:rsidP="002D746C">
      <w:pPr>
        <w:rPr>
          <w:b/>
          <w:sz w:val="22"/>
        </w:rPr>
      </w:pPr>
    </w:p>
    <w:p w:rsidR="00A23DFA" w:rsidRPr="00BD157E" w:rsidRDefault="00A23DFA" w:rsidP="002D746C">
      <w:pPr>
        <w:rPr>
          <w:b/>
          <w:sz w:val="22"/>
        </w:rPr>
      </w:pPr>
    </w:p>
    <w:p w:rsidR="00A23DFA" w:rsidRPr="00BD157E" w:rsidRDefault="00A23DFA" w:rsidP="002D746C">
      <w:pPr>
        <w:rPr>
          <w:b/>
          <w:sz w:val="22"/>
        </w:rPr>
      </w:pPr>
      <w:r w:rsidRPr="00BD157E">
        <w:rPr>
          <w:b/>
          <w:sz w:val="22"/>
        </w:rPr>
        <w:t xml:space="preserve">Section 10455 </w:t>
      </w:r>
      <w:r w:rsidR="00BD157E">
        <w:rPr>
          <w:b/>
          <w:sz w:val="22"/>
        </w:rPr>
        <w:t xml:space="preserve">-- </w:t>
      </w:r>
      <w:r w:rsidRPr="00BD157E">
        <w:rPr>
          <w:b/>
          <w:sz w:val="22"/>
        </w:rPr>
        <w:t xml:space="preserve">Identification of Parties </w:t>
      </w:r>
    </w:p>
    <w:p w:rsidR="00C71833" w:rsidRPr="00BD157E" w:rsidRDefault="00C71833" w:rsidP="002A3AEA">
      <w:pPr>
        <w:rPr>
          <w:b/>
          <w:sz w:val="22"/>
        </w:rPr>
      </w:pPr>
      <w:r w:rsidRPr="00BD157E">
        <w:rPr>
          <w:b/>
          <w:sz w:val="22"/>
        </w:rPr>
        <w:t xml:space="preserve">Recommendation </w:t>
      </w:r>
    </w:p>
    <w:p w:rsidR="002A3AEA" w:rsidRPr="00BD157E" w:rsidRDefault="002A3AEA" w:rsidP="002A3AEA">
      <w:pPr>
        <w:rPr>
          <w:sz w:val="22"/>
        </w:rPr>
      </w:pPr>
      <w:r w:rsidRPr="00BD157E">
        <w:rPr>
          <w:sz w:val="22"/>
        </w:rPr>
        <w:t xml:space="preserve">The </w:t>
      </w:r>
      <w:proofErr w:type="gramStart"/>
      <w:r w:rsidRPr="00BD157E">
        <w:rPr>
          <w:sz w:val="22"/>
        </w:rPr>
        <w:t>third party</w:t>
      </w:r>
      <w:proofErr w:type="gramEnd"/>
      <w:r w:rsidRPr="00BD157E">
        <w:rPr>
          <w:sz w:val="22"/>
        </w:rPr>
        <w:t xml:space="preserve"> administrator </w:t>
      </w:r>
      <w:r w:rsidRPr="00BD157E">
        <w:rPr>
          <w:b/>
          <w:i/>
          <w:strike/>
          <w:sz w:val="22"/>
        </w:rPr>
        <w:t>may</w:t>
      </w:r>
      <w:r w:rsidRPr="00BD157E">
        <w:rPr>
          <w:sz w:val="22"/>
        </w:rPr>
        <w:t xml:space="preserve"> </w:t>
      </w:r>
      <w:r w:rsidR="00C71833" w:rsidRPr="00BD157E">
        <w:rPr>
          <w:b/>
          <w:i/>
          <w:sz w:val="22"/>
        </w:rPr>
        <w:t xml:space="preserve">shall </w:t>
      </w:r>
      <w:r w:rsidRPr="00BD157E">
        <w:rPr>
          <w:sz w:val="22"/>
        </w:rPr>
        <w:t>be included on the official address record and case caption if identified as such.</w:t>
      </w:r>
    </w:p>
    <w:p w:rsidR="002A3AEA" w:rsidRPr="00BD157E" w:rsidRDefault="002A3AEA" w:rsidP="002D746C">
      <w:pPr>
        <w:rPr>
          <w:b/>
          <w:sz w:val="22"/>
        </w:rPr>
      </w:pPr>
    </w:p>
    <w:p w:rsidR="00C71833" w:rsidRPr="00BD157E" w:rsidRDefault="00C71833" w:rsidP="002D746C">
      <w:pPr>
        <w:rPr>
          <w:sz w:val="22"/>
        </w:rPr>
      </w:pPr>
      <w:r w:rsidRPr="00BD157E">
        <w:rPr>
          <w:b/>
          <w:sz w:val="22"/>
        </w:rPr>
        <w:t xml:space="preserve">Discussion </w:t>
      </w:r>
    </w:p>
    <w:p w:rsidR="00C71833" w:rsidRPr="00BD157E" w:rsidRDefault="00C71833" w:rsidP="002D746C">
      <w:pPr>
        <w:rPr>
          <w:sz w:val="22"/>
        </w:rPr>
      </w:pPr>
      <w:r w:rsidRPr="00BD157E">
        <w:rPr>
          <w:sz w:val="22"/>
        </w:rPr>
        <w:t>The third party administrator is the claims administrator and must be included on the official address record to en</w:t>
      </w:r>
      <w:r w:rsidR="003E6FE6" w:rsidRPr="00BD157E">
        <w:rPr>
          <w:sz w:val="22"/>
        </w:rPr>
        <w:t>s</w:t>
      </w:r>
      <w:r w:rsidRPr="00BD157E">
        <w:rPr>
          <w:sz w:val="22"/>
        </w:rPr>
        <w:t>ure consistent and accurate communication.</w:t>
      </w:r>
    </w:p>
    <w:p w:rsidR="00C71833" w:rsidRPr="00BD157E" w:rsidRDefault="00C71833" w:rsidP="002D746C">
      <w:pPr>
        <w:rPr>
          <w:sz w:val="22"/>
        </w:rPr>
      </w:pPr>
    </w:p>
    <w:p w:rsidR="003E6FE6" w:rsidRPr="00BD157E" w:rsidRDefault="003E6FE6" w:rsidP="002D746C">
      <w:pPr>
        <w:rPr>
          <w:sz w:val="22"/>
        </w:rPr>
      </w:pPr>
    </w:p>
    <w:p w:rsidR="00C71833" w:rsidRPr="00BD157E" w:rsidRDefault="00855F77" w:rsidP="002D746C">
      <w:pPr>
        <w:rPr>
          <w:sz w:val="22"/>
        </w:rPr>
      </w:pPr>
      <w:r w:rsidRPr="00BD157E">
        <w:rPr>
          <w:b/>
          <w:sz w:val="22"/>
        </w:rPr>
        <w:t xml:space="preserve">Section 10498 </w:t>
      </w:r>
      <w:r w:rsidR="00BD157E">
        <w:rPr>
          <w:b/>
          <w:sz w:val="22"/>
        </w:rPr>
        <w:t xml:space="preserve">-- </w:t>
      </w:r>
      <w:r w:rsidRPr="00BD157E">
        <w:rPr>
          <w:b/>
          <w:sz w:val="22"/>
        </w:rPr>
        <w:t>Petition for Credit</w:t>
      </w:r>
    </w:p>
    <w:p w:rsidR="003E6FE6" w:rsidRPr="00BD157E" w:rsidRDefault="003E6FE6" w:rsidP="002D746C">
      <w:pPr>
        <w:rPr>
          <w:sz w:val="22"/>
        </w:rPr>
      </w:pPr>
      <w:r w:rsidRPr="00BD157E">
        <w:rPr>
          <w:b/>
          <w:sz w:val="22"/>
        </w:rPr>
        <w:t xml:space="preserve">Recommendation </w:t>
      </w:r>
    </w:p>
    <w:p w:rsidR="003E6FE6" w:rsidRPr="00BD157E" w:rsidRDefault="00CD58A8" w:rsidP="002D746C">
      <w:pPr>
        <w:rPr>
          <w:sz w:val="22"/>
        </w:rPr>
      </w:pPr>
      <w:r w:rsidRPr="00BD157E">
        <w:rPr>
          <w:sz w:val="22"/>
        </w:rPr>
        <w:t>Delete</w:t>
      </w:r>
      <w:r w:rsidR="00C6105A" w:rsidRPr="00BD157E">
        <w:rPr>
          <w:sz w:val="22"/>
        </w:rPr>
        <w:t xml:space="preserve"> this proposed regulation.</w:t>
      </w:r>
    </w:p>
    <w:p w:rsidR="00CD58A8" w:rsidRPr="00BD157E" w:rsidRDefault="00CD58A8" w:rsidP="002D746C">
      <w:pPr>
        <w:rPr>
          <w:sz w:val="22"/>
        </w:rPr>
      </w:pPr>
    </w:p>
    <w:p w:rsidR="003E6FE6" w:rsidRPr="00BD157E" w:rsidRDefault="003E6FE6" w:rsidP="002D746C">
      <w:pPr>
        <w:rPr>
          <w:b/>
          <w:sz w:val="22"/>
        </w:rPr>
      </w:pPr>
      <w:r w:rsidRPr="00BD157E">
        <w:rPr>
          <w:b/>
          <w:sz w:val="22"/>
        </w:rPr>
        <w:t xml:space="preserve">Discussion </w:t>
      </w:r>
    </w:p>
    <w:p w:rsidR="00C6105A" w:rsidRPr="00BD157E" w:rsidRDefault="00C6105A" w:rsidP="00C6105A">
      <w:pPr>
        <w:rPr>
          <w:sz w:val="22"/>
        </w:rPr>
      </w:pPr>
      <w:r w:rsidRPr="00BD157E">
        <w:rPr>
          <w:b/>
          <w:sz w:val="22"/>
        </w:rPr>
        <w:t xml:space="preserve">Authority </w:t>
      </w:r>
    </w:p>
    <w:p w:rsidR="00C6105A" w:rsidRPr="00BD157E" w:rsidRDefault="00C6105A" w:rsidP="00C6105A">
      <w:pPr>
        <w:tabs>
          <w:tab w:val="left" w:pos="-720"/>
        </w:tabs>
        <w:suppressAutoHyphens/>
        <w:rPr>
          <w:sz w:val="22"/>
        </w:rPr>
      </w:pPr>
      <w:r w:rsidRPr="00BD157E">
        <w:rPr>
          <w:sz w:val="22"/>
        </w:rPr>
        <w:t xml:space="preserve">An expression of the need for a rule, no matter how compelling, cannot fill a gap in legal authority.  </w:t>
      </w:r>
      <w:r w:rsidRPr="00BD157E">
        <w:rPr>
          <w:sz w:val="22"/>
          <w:u w:val="single"/>
        </w:rPr>
        <w:t>State Compensation Insurance Fund v. WCAB</w:t>
      </w:r>
      <w:r w:rsidRPr="00BD157E">
        <w:rPr>
          <w:sz w:val="22"/>
        </w:rPr>
        <w:t xml:space="preserve"> (</w:t>
      </w:r>
      <w:proofErr w:type="spellStart"/>
      <w:proofErr w:type="gramStart"/>
      <w:r w:rsidRPr="00BD157E">
        <w:rPr>
          <w:sz w:val="22"/>
        </w:rPr>
        <w:t>Sandhagen</w:t>
      </w:r>
      <w:proofErr w:type="spellEnd"/>
      <w:r w:rsidRPr="00BD157E">
        <w:rPr>
          <w:sz w:val="22"/>
        </w:rPr>
        <w:t xml:space="preserve"> )</w:t>
      </w:r>
      <w:proofErr w:type="gramEnd"/>
      <w:r w:rsidRPr="00BD157E">
        <w:rPr>
          <w:sz w:val="22"/>
        </w:rPr>
        <w:t xml:space="preserve"> (2009), 73 CCC 981.</w:t>
      </w:r>
    </w:p>
    <w:p w:rsidR="00C6105A" w:rsidRPr="00BD157E" w:rsidRDefault="00C6105A" w:rsidP="00C6105A">
      <w:pPr>
        <w:ind w:left="720"/>
        <w:rPr>
          <w:sz w:val="22"/>
        </w:rPr>
      </w:pPr>
    </w:p>
    <w:p w:rsidR="00C6105A" w:rsidRPr="00BD157E" w:rsidRDefault="00C6105A" w:rsidP="00C6105A">
      <w:pPr>
        <w:rPr>
          <w:sz w:val="22"/>
        </w:rPr>
      </w:pPr>
      <w:r w:rsidRPr="00BD157E">
        <w:rPr>
          <w:sz w:val="22"/>
          <w:u w:val="single"/>
        </w:rPr>
        <w:t>Mendoza v WCAB</w:t>
      </w:r>
      <w:r w:rsidRPr="00BD157E">
        <w:rPr>
          <w:sz w:val="22"/>
        </w:rPr>
        <w:t xml:space="preserve"> (2010) 75 CCC 634:</w:t>
      </w:r>
    </w:p>
    <w:p w:rsidR="00C6105A" w:rsidRPr="00BD157E" w:rsidRDefault="00C6105A" w:rsidP="00C6105A">
      <w:pPr>
        <w:ind w:left="720"/>
        <w:rPr>
          <w:sz w:val="22"/>
        </w:rPr>
      </w:pPr>
      <w:r w:rsidRPr="00BD157E">
        <w:rPr>
          <w:sz w:val="22"/>
        </w:rPr>
        <w:t xml:space="preserve">  </w:t>
      </w:r>
      <w:proofErr w:type="gramStart"/>
      <w:r w:rsidRPr="00BD157E">
        <w:rPr>
          <w:sz w:val="22"/>
        </w:rPr>
        <w:t>“ …</w:t>
      </w:r>
      <w:proofErr w:type="gramEnd"/>
      <w:r w:rsidRPr="00BD157E">
        <w:rPr>
          <w:sz w:val="22"/>
        </w:rPr>
        <w:t xml:space="preserve"> no regulation adopted is valid or effective unless consistent and not in conflict with the statute.” Therefore, it has been said that “[w]hen a statute confers upon a state agency the authority to adopt regulations…, the agency’s regulations must be consistent, not in conflict with the statute” and that “[a] regulation that is inconsistent with the statute it seeks to implement is invalid.”  No matter how altruistic its motives, an administrative agency has no discretion to promulgate a regulation that is inconsistent with the governing statutes.” </w:t>
      </w:r>
    </w:p>
    <w:p w:rsidR="00C6105A" w:rsidRPr="00BD157E" w:rsidRDefault="00C6105A" w:rsidP="00C6105A">
      <w:pPr>
        <w:rPr>
          <w:sz w:val="22"/>
        </w:rPr>
      </w:pPr>
    </w:p>
    <w:p w:rsidR="00C6105A" w:rsidRPr="00BD157E" w:rsidRDefault="00C6105A" w:rsidP="00C6105A">
      <w:pPr>
        <w:rPr>
          <w:sz w:val="22"/>
        </w:rPr>
      </w:pPr>
      <w:r w:rsidRPr="00BD157E">
        <w:rPr>
          <w:rFonts w:eastAsia="Times New Roman"/>
          <w:sz w:val="22"/>
        </w:rPr>
        <w:t>There is nothing in section 4909 that supports the proposition that all claimed benefit overpayments must be adjudicated by the appeals board.  The Board has no authority to implement proposed section 10498.</w:t>
      </w:r>
    </w:p>
    <w:p w:rsidR="00C6105A" w:rsidRPr="00BD157E" w:rsidRDefault="00C6105A" w:rsidP="002D746C">
      <w:pPr>
        <w:rPr>
          <w:sz w:val="22"/>
        </w:rPr>
      </w:pPr>
    </w:p>
    <w:p w:rsidR="00C6105A" w:rsidRPr="00BD157E" w:rsidRDefault="00C6105A" w:rsidP="002D746C">
      <w:pPr>
        <w:rPr>
          <w:b/>
          <w:sz w:val="22"/>
        </w:rPr>
      </w:pPr>
      <w:r w:rsidRPr="00BD157E">
        <w:rPr>
          <w:b/>
          <w:sz w:val="22"/>
        </w:rPr>
        <w:t xml:space="preserve">The Board’s Rationale </w:t>
      </w:r>
    </w:p>
    <w:p w:rsidR="00EB2C49" w:rsidRDefault="00CD58A8" w:rsidP="002D746C">
      <w:pPr>
        <w:rPr>
          <w:sz w:val="22"/>
        </w:rPr>
      </w:pPr>
      <w:r w:rsidRPr="00BD157E">
        <w:rPr>
          <w:sz w:val="22"/>
        </w:rPr>
        <w:t xml:space="preserve">This regulation precludes adjusting </w:t>
      </w:r>
      <w:r w:rsidR="00850690" w:rsidRPr="00BD157E">
        <w:rPr>
          <w:sz w:val="22"/>
        </w:rPr>
        <w:t>an overpayment</w:t>
      </w:r>
      <w:r w:rsidRPr="00BD157E">
        <w:rPr>
          <w:sz w:val="22"/>
        </w:rPr>
        <w:t xml:space="preserve"> until </w:t>
      </w:r>
      <w:r w:rsidR="00850690" w:rsidRPr="00BD157E">
        <w:rPr>
          <w:sz w:val="22"/>
        </w:rPr>
        <w:t xml:space="preserve">it is adjudicated </w:t>
      </w:r>
      <w:r w:rsidR="003249C4" w:rsidRPr="00BD157E">
        <w:rPr>
          <w:sz w:val="22"/>
        </w:rPr>
        <w:t>by the WCALJ.</w:t>
      </w:r>
      <w:r w:rsidR="00850690" w:rsidRPr="00BD157E">
        <w:rPr>
          <w:sz w:val="22"/>
        </w:rPr>
        <w:t xml:space="preserve">  </w:t>
      </w:r>
      <w:r w:rsidR="00B0753F" w:rsidRPr="00BD157E">
        <w:rPr>
          <w:sz w:val="22"/>
        </w:rPr>
        <w:t xml:space="preserve">In </w:t>
      </w:r>
      <w:r w:rsidR="007D5BBC" w:rsidRPr="00BD157E">
        <w:rPr>
          <w:sz w:val="22"/>
          <w:u w:val="single"/>
        </w:rPr>
        <w:t>Crocker</w:t>
      </w:r>
      <w:r w:rsidR="00B0753F" w:rsidRPr="00BD157E">
        <w:rPr>
          <w:sz w:val="22"/>
          <w:u w:val="single"/>
        </w:rPr>
        <w:t xml:space="preserve"> v Warner Bros</w:t>
      </w:r>
      <w:r w:rsidR="00B0753F" w:rsidRPr="00BD157E">
        <w:rPr>
          <w:sz w:val="22"/>
        </w:rPr>
        <w:t xml:space="preserve"> (2014) (Board Panel Decision), t</w:t>
      </w:r>
      <w:r w:rsidR="007D5BBC" w:rsidRPr="00BD157E">
        <w:rPr>
          <w:sz w:val="22"/>
        </w:rPr>
        <w:t xml:space="preserve">he Panel reaffirmed the authority to allow or disallow a credit for overpayment. </w:t>
      </w:r>
      <w:r w:rsidR="00991E28" w:rsidRPr="00BD157E">
        <w:rPr>
          <w:sz w:val="22"/>
        </w:rPr>
        <w:t xml:space="preserve"> In </w:t>
      </w:r>
      <w:r w:rsidR="00991E28" w:rsidRPr="00BD157E">
        <w:rPr>
          <w:sz w:val="22"/>
          <w:u w:val="single"/>
        </w:rPr>
        <w:t>Crocker</w:t>
      </w:r>
      <w:r w:rsidR="00991E28" w:rsidRPr="00BD157E">
        <w:rPr>
          <w:sz w:val="22"/>
        </w:rPr>
        <w:t xml:space="preserve">, the defendant </w:t>
      </w:r>
      <w:r w:rsidR="00981B1E" w:rsidRPr="00BD157E">
        <w:rPr>
          <w:sz w:val="22"/>
        </w:rPr>
        <w:t xml:space="preserve">deducted a claimed overpayment from a judicial order awarding benefits.  The issue in that case was not whether </w:t>
      </w:r>
    </w:p>
    <w:p w:rsidR="007D5BBC" w:rsidRPr="00BD157E" w:rsidRDefault="00981B1E" w:rsidP="002D746C">
      <w:pPr>
        <w:rPr>
          <w:sz w:val="22"/>
        </w:rPr>
      </w:pPr>
      <w:r w:rsidRPr="00BD157E">
        <w:rPr>
          <w:sz w:val="22"/>
        </w:rPr>
        <w:lastRenderedPageBreak/>
        <w:t>the defendant under section 4909 could take a credit for an overpayment</w:t>
      </w:r>
      <w:r w:rsidR="005B32A8">
        <w:rPr>
          <w:sz w:val="22"/>
        </w:rPr>
        <w:t>,</w:t>
      </w:r>
      <w:r w:rsidRPr="00BD157E">
        <w:rPr>
          <w:sz w:val="22"/>
        </w:rPr>
        <w:t xml:space="preserve"> but whether the defendant failed to pay the award correctly.  The penalty was based on the failure to pay the benefits as awarded.</w:t>
      </w:r>
    </w:p>
    <w:p w:rsidR="00981B1E" w:rsidRPr="00BD157E" w:rsidRDefault="00981B1E" w:rsidP="002D746C">
      <w:pPr>
        <w:rPr>
          <w:sz w:val="22"/>
        </w:rPr>
      </w:pPr>
    </w:p>
    <w:p w:rsidR="00981B1E" w:rsidRPr="00BD157E" w:rsidRDefault="00981B1E" w:rsidP="002D746C">
      <w:pPr>
        <w:rPr>
          <w:sz w:val="22"/>
        </w:rPr>
      </w:pPr>
      <w:r w:rsidRPr="00BD157E">
        <w:rPr>
          <w:sz w:val="22"/>
        </w:rPr>
        <w:t xml:space="preserve">The Board Panel </w:t>
      </w:r>
      <w:r w:rsidR="00754E96" w:rsidRPr="00BD157E">
        <w:rPr>
          <w:sz w:val="22"/>
        </w:rPr>
        <w:t xml:space="preserve">cited the settled </w:t>
      </w:r>
      <w:r w:rsidRPr="00BD157E">
        <w:rPr>
          <w:sz w:val="22"/>
        </w:rPr>
        <w:t>interpretation of section 4909:</w:t>
      </w:r>
    </w:p>
    <w:p w:rsidR="007D5BBC" w:rsidRPr="00BD157E" w:rsidRDefault="00754E96" w:rsidP="00754E96">
      <w:pPr>
        <w:autoSpaceDE w:val="0"/>
        <w:autoSpaceDN w:val="0"/>
        <w:adjustRightInd w:val="0"/>
        <w:ind w:left="720"/>
        <w:rPr>
          <w:sz w:val="22"/>
        </w:rPr>
      </w:pPr>
      <w:r w:rsidRPr="00BD157E">
        <w:rPr>
          <w:sz w:val="22"/>
        </w:rPr>
        <w:t>“</w:t>
      </w:r>
      <w:r w:rsidR="007D5BBC" w:rsidRPr="00BD157E">
        <w:rPr>
          <w:sz w:val="22"/>
        </w:rPr>
        <w:t>The WCJ has discretion to allow credit where the employer has voluntarily made payments.</w:t>
      </w:r>
      <w:r w:rsidRPr="00BD157E">
        <w:rPr>
          <w:sz w:val="22"/>
        </w:rPr>
        <w:t xml:space="preserve"> </w:t>
      </w:r>
      <w:r w:rsidR="007D5BBC" w:rsidRPr="00BD157E">
        <w:rPr>
          <w:i/>
          <w:iCs/>
          <w:sz w:val="22"/>
        </w:rPr>
        <w:t>{Sea-</w:t>
      </w:r>
      <w:proofErr w:type="spellStart"/>
      <w:r w:rsidR="007D5BBC" w:rsidRPr="00BD157E">
        <w:rPr>
          <w:i/>
          <w:iCs/>
          <w:sz w:val="22"/>
        </w:rPr>
        <w:t>LandService</w:t>
      </w:r>
      <w:proofErr w:type="spellEnd"/>
      <w:r w:rsidR="007D5BBC" w:rsidRPr="00BD157E">
        <w:rPr>
          <w:i/>
          <w:iCs/>
          <w:sz w:val="22"/>
        </w:rPr>
        <w:t xml:space="preserve"> </w:t>
      </w:r>
      <w:r w:rsidR="007D5BBC" w:rsidRPr="00BD157E">
        <w:rPr>
          <w:sz w:val="22"/>
        </w:rPr>
        <w:t xml:space="preserve">v. </w:t>
      </w:r>
      <w:r w:rsidR="007D5BBC" w:rsidRPr="00BD157E">
        <w:rPr>
          <w:i/>
          <w:iCs/>
          <w:sz w:val="22"/>
        </w:rPr>
        <w:t xml:space="preserve">Workers' Comp. Appeals Bd. {Lopez) </w:t>
      </w:r>
      <w:r w:rsidR="007D5BBC" w:rsidRPr="00BD157E">
        <w:rPr>
          <w:sz w:val="22"/>
        </w:rPr>
        <w:t xml:space="preserve">(1996) 14 Cal.4th 76, 86 [61 </w:t>
      </w:r>
      <w:proofErr w:type="spellStart"/>
      <w:r w:rsidR="007D5BBC" w:rsidRPr="00BD157E">
        <w:rPr>
          <w:sz w:val="22"/>
        </w:rPr>
        <w:t>Cal.Comp.Cases</w:t>
      </w:r>
      <w:proofErr w:type="spellEnd"/>
      <w:r w:rsidR="00981B1E" w:rsidRPr="00BD157E">
        <w:rPr>
          <w:sz w:val="22"/>
        </w:rPr>
        <w:t xml:space="preserve"> </w:t>
      </w:r>
      <w:r w:rsidR="007D5BBC" w:rsidRPr="00BD157E">
        <w:rPr>
          <w:sz w:val="22"/>
        </w:rPr>
        <w:t>1360, 1367].) The WCJ generally has discretion to grant or deny credit for overpayments under section</w:t>
      </w:r>
      <w:r w:rsidR="00981B1E" w:rsidRPr="00BD157E">
        <w:rPr>
          <w:sz w:val="22"/>
        </w:rPr>
        <w:t xml:space="preserve"> </w:t>
      </w:r>
      <w:r w:rsidR="007D5BBC" w:rsidRPr="00BD157E">
        <w:rPr>
          <w:sz w:val="22"/>
        </w:rPr>
        <w:t xml:space="preserve">4909 </w:t>
      </w:r>
      <w:r w:rsidR="007D5BBC" w:rsidRPr="00BD157E">
        <w:rPr>
          <w:b/>
          <w:i/>
          <w:sz w:val="22"/>
        </w:rPr>
        <w:t>when fixing the amount of compensation to be paid</w:t>
      </w:r>
      <w:r w:rsidR="007D5BBC" w:rsidRPr="00BD157E">
        <w:rPr>
          <w:sz w:val="22"/>
        </w:rPr>
        <w:t xml:space="preserve">. </w:t>
      </w:r>
      <w:r w:rsidR="007D5BBC" w:rsidRPr="00BD157E">
        <w:rPr>
          <w:i/>
          <w:iCs/>
          <w:sz w:val="22"/>
        </w:rPr>
        <w:t xml:space="preserve">{Herrera </w:t>
      </w:r>
      <w:r w:rsidR="007D5BBC" w:rsidRPr="00BD157E">
        <w:rPr>
          <w:sz w:val="22"/>
        </w:rPr>
        <w:t xml:space="preserve">v. </w:t>
      </w:r>
      <w:r w:rsidR="007D5BBC" w:rsidRPr="00BD157E">
        <w:rPr>
          <w:i/>
          <w:iCs/>
          <w:sz w:val="22"/>
        </w:rPr>
        <w:t xml:space="preserve">Workmen's Comp. App. Bd. </w:t>
      </w:r>
      <w:r w:rsidR="007D5BBC" w:rsidRPr="00BD157E">
        <w:rPr>
          <w:sz w:val="22"/>
        </w:rPr>
        <w:t>(1969)</w:t>
      </w:r>
      <w:r w:rsidRPr="00BD157E">
        <w:rPr>
          <w:sz w:val="22"/>
        </w:rPr>
        <w:t xml:space="preserve"> </w:t>
      </w:r>
      <w:r w:rsidR="007D5BBC" w:rsidRPr="00BD157E">
        <w:rPr>
          <w:sz w:val="22"/>
        </w:rPr>
        <w:t xml:space="preserve">71 Cal.2d 254, 258 [34 </w:t>
      </w:r>
      <w:proofErr w:type="spellStart"/>
      <w:proofErr w:type="gramStart"/>
      <w:r w:rsidR="007D5BBC" w:rsidRPr="00BD157E">
        <w:rPr>
          <w:sz w:val="22"/>
        </w:rPr>
        <w:t>Cal.Comp.Cases</w:t>
      </w:r>
      <w:proofErr w:type="spellEnd"/>
      <w:proofErr w:type="gramEnd"/>
      <w:r w:rsidR="007D5BBC" w:rsidRPr="00BD157E">
        <w:rPr>
          <w:sz w:val="22"/>
        </w:rPr>
        <w:t xml:space="preserve"> 382].)</w:t>
      </w:r>
      <w:r w:rsidRPr="00BD157E">
        <w:rPr>
          <w:sz w:val="22"/>
        </w:rPr>
        <w:t>”</w:t>
      </w:r>
      <w:r w:rsidR="003E5903" w:rsidRPr="00BD157E">
        <w:rPr>
          <w:sz w:val="22"/>
        </w:rPr>
        <w:t xml:space="preserve"> (Emphasis added.)</w:t>
      </w:r>
    </w:p>
    <w:p w:rsidR="007D5BBC" w:rsidRPr="00BD157E" w:rsidRDefault="007D5BBC" w:rsidP="00754E96">
      <w:pPr>
        <w:rPr>
          <w:sz w:val="22"/>
        </w:rPr>
      </w:pPr>
    </w:p>
    <w:p w:rsidR="00754E96" w:rsidRPr="00BD157E" w:rsidRDefault="00B91CCD" w:rsidP="00754E96">
      <w:pPr>
        <w:rPr>
          <w:sz w:val="22"/>
        </w:rPr>
      </w:pPr>
      <w:r>
        <w:rPr>
          <w:sz w:val="22"/>
        </w:rPr>
        <w:t>C</w:t>
      </w:r>
      <w:r w:rsidRPr="00BD157E">
        <w:rPr>
          <w:sz w:val="22"/>
        </w:rPr>
        <w:t xml:space="preserve">iting the 1983 case of </w:t>
      </w:r>
      <w:proofErr w:type="spellStart"/>
      <w:r w:rsidRPr="00BD157E">
        <w:rPr>
          <w:iCs/>
          <w:sz w:val="22"/>
          <w:u w:val="single"/>
        </w:rPr>
        <w:t>Rohrback</w:t>
      </w:r>
      <w:proofErr w:type="spellEnd"/>
      <w:r>
        <w:rPr>
          <w:iCs/>
          <w:sz w:val="22"/>
          <w:u w:val="single"/>
        </w:rPr>
        <w:t>,</w:t>
      </w:r>
      <w:r w:rsidRPr="00BD157E">
        <w:rPr>
          <w:sz w:val="22"/>
        </w:rPr>
        <w:t xml:space="preserve"> </w:t>
      </w:r>
      <w:r>
        <w:rPr>
          <w:sz w:val="22"/>
        </w:rPr>
        <w:t>t</w:t>
      </w:r>
      <w:r w:rsidR="00754E96" w:rsidRPr="00BD157E">
        <w:rPr>
          <w:sz w:val="22"/>
        </w:rPr>
        <w:t>he Panel then notes that if the failure to pay benefits as awarded could result in a penalty for unreasonable delay:</w:t>
      </w:r>
    </w:p>
    <w:p w:rsidR="007D5BBC" w:rsidRPr="00BD157E" w:rsidRDefault="007D5BBC" w:rsidP="007D5BBC">
      <w:pPr>
        <w:autoSpaceDE w:val="0"/>
        <w:autoSpaceDN w:val="0"/>
        <w:adjustRightInd w:val="0"/>
        <w:ind w:left="720"/>
        <w:rPr>
          <w:sz w:val="22"/>
        </w:rPr>
      </w:pPr>
      <w:r w:rsidRPr="00BD157E">
        <w:rPr>
          <w:sz w:val="22"/>
        </w:rPr>
        <w:t xml:space="preserve">A defendant who unilaterally takes credit for an alleged overpayment against benefits by withholding </w:t>
      </w:r>
      <w:r w:rsidRPr="00BD157E">
        <w:rPr>
          <w:b/>
          <w:i/>
          <w:sz w:val="22"/>
        </w:rPr>
        <w:t>awarded benefits</w:t>
      </w:r>
      <w:r w:rsidRPr="00BD157E">
        <w:rPr>
          <w:sz w:val="22"/>
        </w:rPr>
        <w:t xml:space="preserve"> may be liable for a penalty under section 5814. </w:t>
      </w:r>
      <w:r w:rsidRPr="00BD157E">
        <w:rPr>
          <w:i/>
          <w:iCs/>
          <w:sz w:val="22"/>
        </w:rPr>
        <w:t>{</w:t>
      </w:r>
      <w:proofErr w:type="spellStart"/>
      <w:r w:rsidRPr="00BD157E">
        <w:rPr>
          <w:i/>
          <w:iCs/>
          <w:sz w:val="22"/>
        </w:rPr>
        <w:t>Rohrback</w:t>
      </w:r>
      <w:proofErr w:type="spellEnd"/>
      <w:r w:rsidRPr="00BD157E">
        <w:rPr>
          <w:i/>
          <w:iCs/>
          <w:sz w:val="22"/>
        </w:rPr>
        <w:t xml:space="preserve"> </w:t>
      </w:r>
      <w:r w:rsidRPr="00BD157E">
        <w:rPr>
          <w:sz w:val="22"/>
        </w:rPr>
        <w:t xml:space="preserve">v. </w:t>
      </w:r>
      <w:r w:rsidRPr="00BD157E">
        <w:rPr>
          <w:i/>
          <w:iCs/>
          <w:sz w:val="22"/>
        </w:rPr>
        <w:t xml:space="preserve">Workers' Comp. Appeals Bd. </w:t>
      </w:r>
      <w:r w:rsidRPr="00BD157E">
        <w:rPr>
          <w:sz w:val="22"/>
        </w:rPr>
        <w:t xml:space="preserve">(1983) 144 Cal.App.3d 896 [48 </w:t>
      </w:r>
      <w:proofErr w:type="spellStart"/>
      <w:proofErr w:type="gramStart"/>
      <w:r w:rsidRPr="00BD157E">
        <w:rPr>
          <w:sz w:val="22"/>
        </w:rPr>
        <w:t>Cal.Comp.Cases</w:t>
      </w:r>
      <w:proofErr w:type="spellEnd"/>
      <w:proofErr w:type="gramEnd"/>
      <w:r w:rsidRPr="00BD157E">
        <w:rPr>
          <w:sz w:val="22"/>
        </w:rPr>
        <w:t xml:space="preserve"> 78]; </w:t>
      </w:r>
      <w:r w:rsidRPr="00BD157E">
        <w:rPr>
          <w:i/>
          <w:iCs/>
          <w:sz w:val="22"/>
        </w:rPr>
        <w:t xml:space="preserve">Delta Airlines v. Workers' Comp. Appeals Bd. {Fox) </w:t>
      </w:r>
      <w:r w:rsidRPr="00BD157E">
        <w:rPr>
          <w:sz w:val="22"/>
        </w:rPr>
        <w:t xml:space="preserve">(2000) 65 </w:t>
      </w:r>
      <w:proofErr w:type="spellStart"/>
      <w:r w:rsidRPr="00BD157E">
        <w:rPr>
          <w:sz w:val="22"/>
        </w:rPr>
        <w:t>Cal.Comp.Cases</w:t>
      </w:r>
      <w:proofErr w:type="spellEnd"/>
      <w:r w:rsidRPr="00BD157E">
        <w:rPr>
          <w:sz w:val="22"/>
        </w:rPr>
        <w:t xml:space="preserve"> </w:t>
      </w:r>
      <w:r w:rsidR="003E5903" w:rsidRPr="00BD157E">
        <w:rPr>
          <w:sz w:val="22"/>
        </w:rPr>
        <w:t>1</w:t>
      </w:r>
      <w:r w:rsidRPr="00BD157E">
        <w:rPr>
          <w:sz w:val="22"/>
        </w:rPr>
        <w:t>77 [writ den.].)</w:t>
      </w:r>
      <w:r w:rsidR="003E5903" w:rsidRPr="00BD157E">
        <w:rPr>
          <w:sz w:val="22"/>
        </w:rPr>
        <w:t xml:space="preserve"> (Emphasis added.)</w:t>
      </w:r>
    </w:p>
    <w:p w:rsidR="00501165" w:rsidRPr="00BD157E" w:rsidRDefault="00501165" w:rsidP="002D746C">
      <w:pPr>
        <w:rPr>
          <w:sz w:val="22"/>
        </w:rPr>
      </w:pPr>
    </w:p>
    <w:p w:rsidR="005F0026" w:rsidRPr="00BD157E" w:rsidRDefault="00AD4F3F" w:rsidP="002D746C">
      <w:pPr>
        <w:rPr>
          <w:sz w:val="22"/>
        </w:rPr>
      </w:pPr>
      <w:r w:rsidRPr="00BD157E">
        <w:rPr>
          <w:sz w:val="22"/>
        </w:rPr>
        <w:t>The Board’s rationale for the proposed regulation is that</w:t>
      </w:r>
      <w:r w:rsidR="00C749FB" w:rsidRPr="00BD157E">
        <w:rPr>
          <w:sz w:val="22"/>
        </w:rPr>
        <w:t>,</w:t>
      </w:r>
      <w:r w:rsidRPr="00BD157E">
        <w:rPr>
          <w:sz w:val="22"/>
        </w:rPr>
        <w:t xml:space="preserve"> pursuant to “settled case law</w:t>
      </w:r>
      <w:r w:rsidR="00B91CCD">
        <w:rPr>
          <w:sz w:val="22"/>
        </w:rPr>
        <w:t>,</w:t>
      </w:r>
      <w:r w:rsidRPr="00BD157E">
        <w:rPr>
          <w:sz w:val="22"/>
        </w:rPr>
        <w:t xml:space="preserve">” section 10498 clarifies that an employer must not unilaterally take credit for alleged overpayment of benefits, but must file </w:t>
      </w:r>
      <w:r w:rsidR="000E5825" w:rsidRPr="00BD157E">
        <w:rPr>
          <w:sz w:val="22"/>
        </w:rPr>
        <w:t>“</w:t>
      </w:r>
      <w:r w:rsidRPr="00BD157E">
        <w:rPr>
          <w:sz w:val="22"/>
        </w:rPr>
        <w:t>a petition for credit with the WCAB to have the issue adjudicated</w:t>
      </w:r>
      <w:r w:rsidR="00B91CCD">
        <w:rPr>
          <w:sz w:val="22"/>
        </w:rPr>
        <w:t>.</w:t>
      </w:r>
      <w:r w:rsidR="000E5825" w:rsidRPr="00BD157E">
        <w:rPr>
          <w:sz w:val="22"/>
        </w:rPr>
        <w:t xml:space="preserve">”  </w:t>
      </w:r>
      <w:r w:rsidR="005F0026" w:rsidRPr="00BD157E">
        <w:rPr>
          <w:sz w:val="22"/>
        </w:rPr>
        <w:t>The proposed regulation requires all assertions of benefit overpayments to be adjudicated.  There is no case law supporting that proposition, settled or otherwise.</w:t>
      </w:r>
    </w:p>
    <w:p w:rsidR="005F0026" w:rsidRPr="00BD157E" w:rsidRDefault="005F0026" w:rsidP="002D746C">
      <w:pPr>
        <w:rPr>
          <w:sz w:val="22"/>
        </w:rPr>
      </w:pPr>
    </w:p>
    <w:p w:rsidR="00C811F6" w:rsidRPr="00BD157E" w:rsidRDefault="003E5903" w:rsidP="00C811F6">
      <w:pPr>
        <w:rPr>
          <w:sz w:val="22"/>
        </w:rPr>
      </w:pPr>
      <w:r w:rsidRPr="00BD157E">
        <w:rPr>
          <w:sz w:val="22"/>
        </w:rPr>
        <w:t xml:space="preserve">The Board cites </w:t>
      </w:r>
      <w:proofErr w:type="spellStart"/>
      <w:r w:rsidRPr="00BD157E">
        <w:rPr>
          <w:iCs/>
          <w:sz w:val="22"/>
          <w:u w:val="single"/>
        </w:rPr>
        <w:t>Rohrback</w:t>
      </w:r>
      <w:proofErr w:type="spellEnd"/>
      <w:r w:rsidRPr="00BD157E">
        <w:rPr>
          <w:iCs/>
          <w:sz w:val="22"/>
        </w:rPr>
        <w:t xml:space="preserve"> for </w:t>
      </w:r>
      <w:r w:rsidR="00933559" w:rsidRPr="00BD157E">
        <w:rPr>
          <w:iCs/>
          <w:sz w:val="22"/>
        </w:rPr>
        <w:t xml:space="preserve">the </w:t>
      </w:r>
      <w:r w:rsidRPr="00BD157E">
        <w:rPr>
          <w:iCs/>
          <w:sz w:val="22"/>
        </w:rPr>
        <w:t>proposition</w:t>
      </w:r>
      <w:r w:rsidR="00933559" w:rsidRPr="00BD157E">
        <w:rPr>
          <w:iCs/>
          <w:sz w:val="22"/>
        </w:rPr>
        <w:t xml:space="preserve"> that when an employer </w:t>
      </w:r>
      <w:r w:rsidR="00933559" w:rsidRPr="00BD157E">
        <w:rPr>
          <w:sz w:val="22"/>
        </w:rPr>
        <w:t xml:space="preserve">unilaterally takes credit </w:t>
      </w:r>
      <w:r w:rsidR="00BA3AA6">
        <w:rPr>
          <w:sz w:val="22"/>
        </w:rPr>
        <w:t xml:space="preserve">for </w:t>
      </w:r>
      <w:r w:rsidR="00933559" w:rsidRPr="00BD157E">
        <w:rPr>
          <w:sz w:val="22"/>
        </w:rPr>
        <w:t>an overpayment without first obtaining an order from the WCAB, the employer risks a 5814 penalty.  T</w:t>
      </w:r>
      <w:r w:rsidRPr="00BD157E">
        <w:rPr>
          <w:iCs/>
          <w:sz w:val="22"/>
        </w:rPr>
        <w:t xml:space="preserve">he rationale of </w:t>
      </w:r>
      <w:proofErr w:type="spellStart"/>
      <w:r w:rsidR="00933559" w:rsidRPr="00BD157E">
        <w:rPr>
          <w:iCs/>
          <w:sz w:val="22"/>
          <w:u w:val="single"/>
        </w:rPr>
        <w:t>Rohrback</w:t>
      </w:r>
      <w:proofErr w:type="spellEnd"/>
      <w:r w:rsidR="00933559" w:rsidRPr="00BD157E">
        <w:rPr>
          <w:iCs/>
          <w:sz w:val="22"/>
        </w:rPr>
        <w:t xml:space="preserve"> </w:t>
      </w:r>
      <w:r w:rsidRPr="00BD157E">
        <w:rPr>
          <w:iCs/>
          <w:sz w:val="22"/>
        </w:rPr>
        <w:t>does not</w:t>
      </w:r>
      <w:r w:rsidR="00C811F6" w:rsidRPr="00BD157E">
        <w:rPr>
          <w:iCs/>
          <w:sz w:val="22"/>
        </w:rPr>
        <w:t xml:space="preserve">, in fact, say that and it certainly does not </w:t>
      </w:r>
      <w:r w:rsidR="000E5825" w:rsidRPr="00BD157E">
        <w:rPr>
          <w:iCs/>
          <w:sz w:val="22"/>
        </w:rPr>
        <w:t xml:space="preserve">translate into the mandatory adjudication of </w:t>
      </w:r>
      <w:r w:rsidR="00C6105A" w:rsidRPr="00BD157E">
        <w:rPr>
          <w:iCs/>
          <w:sz w:val="22"/>
        </w:rPr>
        <w:t>every</w:t>
      </w:r>
      <w:r w:rsidR="000E5825" w:rsidRPr="00BD157E">
        <w:rPr>
          <w:iCs/>
          <w:sz w:val="22"/>
        </w:rPr>
        <w:t xml:space="preserve"> claimed overpayment</w:t>
      </w:r>
      <w:r w:rsidR="00AD4F3F" w:rsidRPr="00BD157E">
        <w:rPr>
          <w:iCs/>
          <w:sz w:val="22"/>
        </w:rPr>
        <w:t xml:space="preserve">, as it deals with the failure to pay </w:t>
      </w:r>
      <w:r w:rsidR="00AD4F3F" w:rsidRPr="00BD157E">
        <w:rPr>
          <w:iCs/>
          <w:sz w:val="22"/>
          <w:u w:val="single"/>
        </w:rPr>
        <w:t>an award</w:t>
      </w:r>
      <w:r w:rsidR="00AD4F3F" w:rsidRPr="00BD157E">
        <w:rPr>
          <w:iCs/>
          <w:sz w:val="22"/>
        </w:rPr>
        <w:t xml:space="preserve"> of benefits</w:t>
      </w:r>
      <w:r w:rsidRPr="00BD157E">
        <w:rPr>
          <w:iCs/>
          <w:sz w:val="22"/>
        </w:rPr>
        <w:t>.</w:t>
      </w:r>
      <w:r w:rsidR="00933559" w:rsidRPr="00BD157E">
        <w:rPr>
          <w:iCs/>
          <w:sz w:val="22"/>
        </w:rPr>
        <w:t xml:space="preserve">  </w:t>
      </w:r>
      <w:r w:rsidR="005F0026" w:rsidRPr="00BD157E">
        <w:rPr>
          <w:iCs/>
          <w:sz w:val="22"/>
        </w:rPr>
        <w:t xml:space="preserve">The citation of </w:t>
      </w:r>
      <w:r w:rsidR="005F0026" w:rsidRPr="00BD157E">
        <w:rPr>
          <w:iCs/>
          <w:sz w:val="22"/>
          <w:u w:val="single"/>
        </w:rPr>
        <w:t>Delta</w:t>
      </w:r>
      <w:r w:rsidR="005F0026" w:rsidRPr="00BD157E">
        <w:rPr>
          <w:iCs/>
          <w:sz w:val="22"/>
        </w:rPr>
        <w:t xml:space="preserve"> </w:t>
      </w:r>
      <w:r w:rsidR="00030B8A" w:rsidRPr="00BD157E">
        <w:rPr>
          <w:iCs/>
          <w:sz w:val="22"/>
        </w:rPr>
        <w:t xml:space="preserve">in the </w:t>
      </w:r>
      <w:proofErr w:type="spellStart"/>
      <w:r w:rsidR="00030B8A" w:rsidRPr="00BD157E">
        <w:rPr>
          <w:iCs/>
          <w:sz w:val="22"/>
          <w:u w:val="single"/>
        </w:rPr>
        <w:t>Rohrback</w:t>
      </w:r>
      <w:proofErr w:type="spellEnd"/>
      <w:r w:rsidR="00030B8A" w:rsidRPr="00BD157E">
        <w:rPr>
          <w:iCs/>
          <w:sz w:val="22"/>
        </w:rPr>
        <w:t xml:space="preserve"> opinion </w:t>
      </w:r>
      <w:r w:rsidR="005F0026" w:rsidRPr="00BD157E">
        <w:rPr>
          <w:iCs/>
          <w:sz w:val="22"/>
        </w:rPr>
        <w:t>is equally unavailing as it is a Writ Denied summary</w:t>
      </w:r>
      <w:r w:rsidR="00C811F6" w:rsidRPr="00BD157E">
        <w:rPr>
          <w:iCs/>
          <w:sz w:val="22"/>
        </w:rPr>
        <w:t>,</w:t>
      </w:r>
      <w:r w:rsidR="00030B8A" w:rsidRPr="00BD157E">
        <w:rPr>
          <w:iCs/>
          <w:sz w:val="22"/>
        </w:rPr>
        <w:t xml:space="preserve"> as is </w:t>
      </w:r>
      <w:r w:rsidR="00030B8A" w:rsidRPr="00BD157E">
        <w:rPr>
          <w:sz w:val="22"/>
          <w:u w:val="single"/>
        </w:rPr>
        <w:t>California Comp. Ins. Co</w:t>
      </w:r>
      <w:r w:rsidR="00030B8A" w:rsidRPr="00BD157E">
        <w:rPr>
          <w:sz w:val="22"/>
        </w:rPr>
        <w:t>.</w:t>
      </w:r>
      <w:r w:rsidR="00C811F6" w:rsidRPr="00BD157E">
        <w:rPr>
          <w:sz w:val="22"/>
        </w:rPr>
        <w:t xml:space="preserve">  </w:t>
      </w:r>
    </w:p>
    <w:p w:rsidR="00AD4F3F" w:rsidRPr="00BD157E" w:rsidRDefault="00AD4F3F" w:rsidP="002D746C">
      <w:pPr>
        <w:rPr>
          <w:sz w:val="22"/>
        </w:rPr>
      </w:pPr>
    </w:p>
    <w:p w:rsidR="005433FD" w:rsidRPr="00BD157E" w:rsidRDefault="00116AA6" w:rsidP="002D746C">
      <w:pPr>
        <w:rPr>
          <w:sz w:val="22"/>
        </w:rPr>
      </w:pPr>
      <w:r w:rsidRPr="00BD157E">
        <w:rPr>
          <w:sz w:val="22"/>
        </w:rPr>
        <w:t xml:space="preserve">We are recommending that the proposed regulation be eliminated because it seems to be addressing a </w:t>
      </w:r>
      <w:r w:rsidR="00EF412A" w:rsidRPr="00BD157E">
        <w:rPr>
          <w:sz w:val="22"/>
        </w:rPr>
        <w:t xml:space="preserve">problem </w:t>
      </w:r>
      <w:r w:rsidRPr="00BD157E">
        <w:rPr>
          <w:sz w:val="22"/>
        </w:rPr>
        <w:t xml:space="preserve">that does not exist.  </w:t>
      </w:r>
      <w:r w:rsidR="005433FD" w:rsidRPr="00BD157E">
        <w:rPr>
          <w:sz w:val="22"/>
        </w:rPr>
        <w:t xml:space="preserve">The Board provides no evidence of the scope of </w:t>
      </w:r>
      <w:r w:rsidR="0058397C" w:rsidRPr="00BD157E">
        <w:rPr>
          <w:sz w:val="22"/>
        </w:rPr>
        <w:t>incorrect overpayments</w:t>
      </w:r>
      <w:r w:rsidR="005433FD" w:rsidRPr="00BD157E">
        <w:rPr>
          <w:sz w:val="22"/>
        </w:rPr>
        <w:t xml:space="preserve">, yet it is suggesting a global </w:t>
      </w:r>
      <w:r w:rsidR="0058397C" w:rsidRPr="00BD157E">
        <w:rPr>
          <w:sz w:val="22"/>
        </w:rPr>
        <w:t>fix</w:t>
      </w:r>
      <w:r w:rsidR="005433FD" w:rsidRPr="00BD157E">
        <w:rPr>
          <w:sz w:val="22"/>
        </w:rPr>
        <w:t xml:space="preserve"> that will require every claimed overpayment to be adjudicated at the local District Offices.  </w:t>
      </w:r>
      <w:r w:rsidR="00EF412A" w:rsidRPr="00BD157E">
        <w:rPr>
          <w:sz w:val="22"/>
        </w:rPr>
        <w:t>From a purely logistical standpoint, t</w:t>
      </w:r>
      <w:r w:rsidRPr="00BD157E">
        <w:rPr>
          <w:sz w:val="22"/>
        </w:rPr>
        <w:t xml:space="preserve">he effect of the proposed rule is </w:t>
      </w:r>
      <w:r w:rsidR="00EF412A" w:rsidRPr="00BD157E">
        <w:rPr>
          <w:sz w:val="22"/>
        </w:rPr>
        <w:t>inconceivable</w:t>
      </w:r>
      <w:r w:rsidRPr="00BD157E">
        <w:rPr>
          <w:sz w:val="22"/>
        </w:rPr>
        <w:t xml:space="preserve">.  </w:t>
      </w:r>
    </w:p>
    <w:p w:rsidR="00850690" w:rsidRPr="00BD157E" w:rsidRDefault="00850690" w:rsidP="002D746C">
      <w:pPr>
        <w:rPr>
          <w:sz w:val="22"/>
        </w:rPr>
      </w:pPr>
    </w:p>
    <w:p w:rsidR="00C644E1" w:rsidRPr="00BD157E" w:rsidRDefault="00C644E1" w:rsidP="00C644E1">
      <w:pPr>
        <w:rPr>
          <w:sz w:val="22"/>
        </w:rPr>
      </w:pPr>
      <w:r w:rsidRPr="00BD157E">
        <w:rPr>
          <w:sz w:val="22"/>
        </w:rPr>
        <w:t>It is not unusual for the employer and injured worker to initially provide the claims administrator with an incorrect wage statement, resulting in TD overpayments for a period of time.  When the wage statement is corrected, the rate is adjusted, the employer and the injured worker are advised, and the overpayment is recovered from PD or sometimes the injured worker will issue a check for it.  Frequently, MMI examinations are conducted while TD is being paid and the permanent and stationary reports are received weeks later</w:t>
      </w:r>
      <w:r w:rsidR="00976E0F" w:rsidRPr="00BD157E">
        <w:rPr>
          <w:sz w:val="22"/>
        </w:rPr>
        <w:t xml:space="preserve"> but it </w:t>
      </w:r>
      <w:r w:rsidRPr="00BD157E">
        <w:rPr>
          <w:sz w:val="22"/>
        </w:rPr>
        <w:t>clear</w:t>
      </w:r>
      <w:r w:rsidR="00CD4933" w:rsidRPr="00BD157E">
        <w:rPr>
          <w:sz w:val="22"/>
        </w:rPr>
        <w:t>ly</w:t>
      </w:r>
      <w:r w:rsidRPr="00BD157E">
        <w:rPr>
          <w:sz w:val="22"/>
        </w:rPr>
        <w:t xml:space="preserve"> </w:t>
      </w:r>
      <w:r w:rsidR="00CD4933" w:rsidRPr="00BD157E">
        <w:rPr>
          <w:sz w:val="22"/>
        </w:rPr>
        <w:t>supports</w:t>
      </w:r>
      <w:r w:rsidRPr="00BD157E">
        <w:rPr>
          <w:sz w:val="22"/>
        </w:rPr>
        <w:t xml:space="preserve"> an adjustment to the PD benefits.  </w:t>
      </w:r>
      <w:r w:rsidR="002E2D46" w:rsidRPr="00BD157E">
        <w:rPr>
          <w:sz w:val="22"/>
        </w:rPr>
        <w:t xml:space="preserve">The vast majority of corrections arise from incidents like these.  </w:t>
      </w:r>
      <w:r w:rsidR="00976E0F" w:rsidRPr="00BD157E">
        <w:rPr>
          <w:sz w:val="22"/>
        </w:rPr>
        <w:t>Allowing t</w:t>
      </w:r>
      <w:r w:rsidR="002E2D46" w:rsidRPr="00BD157E">
        <w:rPr>
          <w:sz w:val="22"/>
        </w:rPr>
        <w:t xml:space="preserve">hese frequent, necessary adjustments to the benefits </w:t>
      </w:r>
      <w:r w:rsidR="00976E0F" w:rsidRPr="00BD157E">
        <w:rPr>
          <w:sz w:val="22"/>
        </w:rPr>
        <w:t>is</w:t>
      </w:r>
      <w:r w:rsidR="002E2D46" w:rsidRPr="00BD157E">
        <w:rPr>
          <w:sz w:val="22"/>
        </w:rPr>
        <w:t xml:space="preserve"> far superior to </w:t>
      </w:r>
      <w:r w:rsidR="00976E0F" w:rsidRPr="00BD157E">
        <w:rPr>
          <w:sz w:val="22"/>
        </w:rPr>
        <w:t xml:space="preserve">requiring </w:t>
      </w:r>
      <w:r w:rsidR="002E2D46" w:rsidRPr="00BD157E">
        <w:rPr>
          <w:sz w:val="22"/>
        </w:rPr>
        <w:t>petitions and orders</w:t>
      </w:r>
      <w:r w:rsidR="00976E0F" w:rsidRPr="00BD157E">
        <w:rPr>
          <w:sz w:val="22"/>
        </w:rPr>
        <w:t xml:space="preserve">. </w:t>
      </w:r>
      <w:r w:rsidR="002E2D46" w:rsidRPr="00BD157E">
        <w:rPr>
          <w:sz w:val="22"/>
        </w:rPr>
        <w:t xml:space="preserve"> </w:t>
      </w:r>
      <w:r w:rsidRPr="00BD157E">
        <w:rPr>
          <w:sz w:val="22"/>
        </w:rPr>
        <w:t>The requirement to file a Petition for Credit and adjudicate every instance like these would slow the system to a crawl and produce no beneficial effect.</w:t>
      </w:r>
    </w:p>
    <w:p w:rsidR="00C644E1" w:rsidRPr="00BD157E" w:rsidRDefault="00C644E1" w:rsidP="002D746C">
      <w:pPr>
        <w:rPr>
          <w:sz w:val="22"/>
        </w:rPr>
      </w:pPr>
    </w:p>
    <w:p w:rsidR="00850690" w:rsidRPr="00BD157E" w:rsidRDefault="00850690" w:rsidP="002D746C">
      <w:pPr>
        <w:rPr>
          <w:sz w:val="22"/>
        </w:rPr>
      </w:pPr>
      <w:r w:rsidRPr="00BD157E">
        <w:rPr>
          <w:sz w:val="22"/>
        </w:rPr>
        <w:lastRenderedPageBreak/>
        <w:t>Defendants are required to pay “estimated” permanent disability benefits even before the injured worker become</w:t>
      </w:r>
      <w:r w:rsidR="00976E0F" w:rsidRPr="00BD157E">
        <w:rPr>
          <w:sz w:val="22"/>
        </w:rPr>
        <w:t>s</w:t>
      </w:r>
      <w:r w:rsidRPr="00BD157E">
        <w:rPr>
          <w:sz w:val="22"/>
        </w:rPr>
        <w:t xml:space="preserve"> permanent and stationary.  </w:t>
      </w:r>
      <w:r w:rsidR="00C6105A" w:rsidRPr="00BD157E">
        <w:rPr>
          <w:sz w:val="22"/>
        </w:rPr>
        <w:t xml:space="preserve">Therefore, </w:t>
      </w:r>
      <w:r w:rsidRPr="00BD157E">
        <w:rPr>
          <w:sz w:val="22"/>
        </w:rPr>
        <w:t xml:space="preserve">these payments will </w:t>
      </w:r>
      <w:r w:rsidR="00CD4933" w:rsidRPr="00BD157E">
        <w:rPr>
          <w:sz w:val="22"/>
        </w:rPr>
        <w:t>rarely</w:t>
      </w:r>
      <w:r w:rsidRPr="00BD157E">
        <w:rPr>
          <w:sz w:val="22"/>
        </w:rPr>
        <w:t xml:space="preserve"> be correct and will have to be adjusted.  </w:t>
      </w:r>
      <w:r w:rsidR="00B23607" w:rsidRPr="00BD157E">
        <w:rPr>
          <w:sz w:val="22"/>
        </w:rPr>
        <w:t xml:space="preserve">To date the adjustment of benefit </w:t>
      </w:r>
      <w:r w:rsidR="00BD157E" w:rsidRPr="00BD157E">
        <w:rPr>
          <w:sz w:val="22"/>
        </w:rPr>
        <w:t xml:space="preserve">overpayments </w:t>
      </w:r>
      <w:r w:rsidR="00B23607" w:rsidRPr="00BD157E">
        <w:rPr>
          <w:sz w:val="22"/>
        </w:rPr>
        <w:t xml:space="preserve">has not required </w:t>
      </w:r>
      <w:r w:rsidR="00CD4933" w:rsidRPr="00BD157E">
        <w:rPr>
          <w:sz w:val="22"/>
        </w:rPr>
        <w:t xml:space="preserve">routine </w:t>
      </w:r>
      <w:r w:rsidR="00B23607" w:rsidRPr="00BD157E">
        <w:rPr>
          <w:sz w:val="22"/>
        </w:rPr>
        <w:t>judicial intervention</w:t>
      </w:r>
      <w:r w:rsidR="00BA3AA6">
        <w:rPr>
          <w:sz w:val="22"/>
        </w:rPr>
        <w:t>,</w:t>
      </w:r>
      <w:r w:rsidR="00976E0F" w:rsidRPr="00BD157E">
        <w:rPr>
          <w:sz w:val="22"/>
        </w:rPr>
        <w:t xml:space="preserve"> but it is </w:t>
      </w:r>
      <w:r w:rsidR="00BD157E" w:rsidRPr="00BD157E">
        <w:rPr>
          <w:sz w:val="22"/>
        </w:rPr>
        <w:t>readily available when it is needed.</w:t>
      </w:r>
      <w:r w:rsidR="00B23607" w:rsidRPr="00BD157E">
        <w:rPr>
          <w:sz w:val="22"/>
        </w:rPr>
        <w:t xml:space="preserve">  If claims administrators are precluded from recovering overpayments until a WCALJ rules, it is likely that benefits will be stopped whenever it appears likely that an overpayment might occur.  There will undoubtedly be significant </w:t>
      </w:r>
      <w:r w:rsidR="00110C11" w:rsidRPr="00BD157E">
        <w:rPr>
          <w:sz w:val="22"/>
        </w:rPr>
        <w:t xml:space="preserve">and unnecessary </w:t>
      </w:r>
      <w:r w:rsidR="00B23607" w:rsidRPr="00BD157E">
        <w:rPr>
          <w:sz w:val="22"/>
        </w:rPr>
        <w:t xml:space="preserve">delays in the adjustment of benefit payments if this regulation </w:t>
      </w:r>
      <w:r w:rsidR="00110C11" w:rsidRPr="00BD157E">
        <w:rPr>
          <w:sz w:val="22"/>
        </w:rPr>
        <w:t>is implemented.</w:t>
      </w:r>
    </w:p>
    <w:p w:rsidR="0058397C" w:rsidRPr="00BD157E" w:rsidRDefault="0058397C" w:rsidP="002D746C">
      <w:pPr>
        <w:rPr>
          <w:sz w:val="22"/>
        </w:rPr>
      </w:pPr>
    </w:p>
    <w:p w:rsidR="00C749FB" w:rsidRPr="00BD157E" w:rsidRDefault="00C749FB" w:rsidP="002D746C">
      <w:pPr>
        <w:rPr>
          <w:sz w:val="22"/>
        </w:rPr>
      </w:pPr>
    </w:p>
    <w:p w:rsidR="00110C11" w:rsidRPr="00BD157E" w:rsidRDefault="00110C11" w:rsidP="00110C11">
      <w:pPr>
        <w:rPr>
          <w:sz w:val="22"/>
        </w:rPr>
      </w:pPr>
      <w:r w:rsidRPr="00BD157E">
        <w:rPr>
          <w:sz w:val="22"/>
        </w:rPr>
        <w:t xml:space="preserve">Thank you for the effort put into these </w:t>
      </w:r>
      <w:r w:rsidR="004C32FD" w:rsidRPr="00BD157E">
        <w:rPr>
          <w:sz w:val="22"/>
        </w:rPr>
        <w:t xml:space="preserve">proposed </w:t>
      </w:r>
      <w:r w:rsidRPr="00BD157E">
        <w:rPr>
          <w:sz w:val="22"/>
        </w:rPr>
        <w:t xml:space="preserve">regulations and for considering our comments. </w:t>
      </w: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Sincerely, </w:t>
      </w: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Michael McClain </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General Counsel</w:t>
      </w:r>
      <w:r w:rsidR="004C32FD" w:rsidRPr="00BD157E">
        <w:rPr>
          <w:spacing w:val="0"/>
          <w:sz w:val="22"/>
          <w:szCs w:val="22"/>
        </w:rPr>
        <w:t>,</w:t>
      </w:r>
      <w:r w:rsidRPr="00BD157E">
        <w:rPr>
          <w:spacing w:val="0"/>
          <w:sz w:val="22"/>
          <w:szCs w:val="22"/>
        </w:rPr>
        <w:t xml:space="preserve"> </w:t>
      </w:r>
      <w:r w:rsidR="004C32FD" w:rsidRPr="00BD157E">
        <w:rPr>
          <w:spacing w:val="0"/>
          <w:sz w:val="22"/>
          <w:szCs w:val="22"/>
        </w:rPr>
        <w:t xml:space="preserve">California Workers' Compensation Institute </w:t>
      </w: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4C32FD" w:rsidP="00110C11">
      <w:pPr>
        <w:pStyle w:val="MessageHeader"/>
        <w:tabs>
          <w:tab w:val="left" w:pos="900"/>
        </w:tabs>
        <w:spacing w:after="0" w:line="240" w:lineRule="auto"/>
        <w:ind w:left="0" w:firstLine="0"/>
        <w:rPr>
          <w:spacing w:val="0"/>
          <w:sz w:val="22"/>
          <w:szCs w:val="22"/>
        </w:rPr>
      </w:pPr>
      <w:proofErr w:type="spellStart"/>
      <w:r w:rsidRPr="00BD157E">
        <w:rPr>
          <w:spacing w:val="0"/>
          <w:sz w:val="22"/>
          <w:szCs w:val="22"/>
        </w:rPr>
        <w:t>MMc</w:t>
      </w:r>
      <w:proofErr w:type="spellEnd"/>
      <w:r w:rsidR="00110C11" w:rsidRPr="00BD157E">
        <w:rPr>
          <w:spacing w:val="0"/>
          <w:sz w:val="22"/>
          <w:szCs w:val="22"/>
        </w:rPr>
        <w:t xml:space="preserve">/pm </w:t>
      </w:r>
    </w:p>
    <w:p w:rsidR="00110C11" w:rsidRPr="00BD157E" w:rsidRDefault="00110C11" w:rsidP="00110C11">
      <w:pPr>
        <w:pStyle w:val="MessageHeader"/>
        <w:tabs>
          <w:tab w:val="left" w:pos="900"/>
        </w:tabs>
        <w:spacing w:after="0" w:line="240" w:lineRule="auto"/>
        <w:ind w:left="0" w:firstLine="0"/>
        <w:rPr>
          <w:spacing w:val="0"/>
          <w:sz w:val="22"/>
          <w:szCs w:val="22"/>
        </w:rPr>
      </w:pP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cc:   Christine Baker, DIR Director </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Destie Overpeck, DWC Administrative Director</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Dr. Rupali</w:t>
      </w:r>
      <w:r w:rsidR="00BA3AA6">
        <w:rPr>
          <w:spacing w:val="0"/>
          <w:sz w:val="22"/>
          <w:szCs w:val="22"/>
        </w:rPr>
        <w:t xml:space="preserve"> </w:t>
      </w:r>
      <w:r w:rsidR="00BA3AA6" w:rsidRPr="00BD157E">
        <w:rPr>
          <w:spacing w:val="0"/>
          <w:sz w:val="22"/>
          <w:szCs w:val="22"/>
        </w:rPr>
        <w:t>Das</w:t>
      </w:r>
      <w:r w:rsidRPr="00BD157E">
        <w:rPr>
          <w:spacing w:val="0"/>
          <w:sz w:val="22"/>
          <w:szCs w:val="22"/>
        </w:rPr>
        <w:t>, DWC Executive Medical Director</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CWCI Claims Committee</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CWCI Medical Care Committee</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CWCI Legal Committee</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CWCI Regular Members</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CWCI Associate Members </w:t>
      </w:r>
    </w:p>
    <w:p w:rsidR="00110C11" w:rsidRPr="00BD157E" w:rsidRDefault="00110C11" w:rsidP="00110C11">
      <w:pPr>
        <w:pStyle w:val="MessageHeader"/>
        <w:tabs>
          <w:tab w:val="left" w:pos="900"/>
        </w:tabs>
        <w:spacing w:after="0" w:line="240" w:lineRule="auto"/>
        <w:ind w:left="0" w:firstLine="0"/>
        <w:rPr>
          <w:spacing w:val="0"/>
          <w:sz w:val="22"/>
          <w:szCs w:val="22"/>
        </w:rPr>
      </w:pPr>
      <w:r w:rsidRPr="00BD157E">
        <w:rPr>
          <w:spacing w:val="0"/>
          <w:sz w:val="22"/>
          <w:szCs w:val="22"/>
        </w:rPr>
        <w:t xml:space="preserve">        California Chamber of Commerce</w:t>
      </w:r>
    </w:p>
    <w:p w:rsidR="00110C11" w:rsidRPr="00BD157E" w:rsidRDefault="00110C11" w:rsidP="00110C11">
      <w:pPr>
        <w:pStyle w:val="MessageHeader"/>
        <w:tabs>
          <w:tab w:val="left" w:pos="900"/>
        </w:tabs>
        <w:spacing w:after="0" w:line="240" w:lineRule="auto"/>
        <w:ind w:left="0" w:firstLine="0"/>
        <w:rPr>
          <w:bCs/>
          <w:spacing w:val="0"/>
          <w:sz w:val="22"/>
          <w:szCs w:val="22"/>
          <w:lang w:val="en"/>
        </w:rPr>
      </w:pPr>
      <w:r w:rsidRPr="00BD157E">
        <w:rPr>
          <w:spacing w:val="0"/>
          <w:sz w:val="22"/>
          <w:szCs w:val="22"/>
        </w:rPr>
        <w:t xml:space="preserve">        </w:t>
      </w:r>
      <w:r w:rsidRPr="00BD157E">
        <w:rPr>
          <w:bCs/>
          <w:spacing w:val="0"/>
          <w:sz w:val="22"/>
          <w:szCs w:val="22"/>
          <w:lang w:val="en"/>
        </w:rPr>
        <w:t>California Coalition on Workers' Compensation</w:t>
      </w:r>
    </w:p>
    <w:p w:rsidR="00110C11" w:rsidRPr="00BD157E" w:rsidRDefault="00110C11" w:rsidP="00110C11">
      <w:pPr>
        <w:pStyle w:val="MessageHeader"/>
        <w:tabs>
          <w:tab w:val="left" w:pos="900"/>
        </w:tabs>
        <w:spacing w:after="0" w:line="240" w:lineRule="auto"/>
        <w:ind w:left="0" w:firstLine="0"/>
        <w:rPr>
          <w:sz w:val="22"/>
          <w:szCs w:val="22"/>
        </w:rPr>
      </w:pPr>
      <w:r w:rsidRPr="00BD157E">
        <w:rPr>
          <w:spacing w:val="0"/>
          <w:sz w:val="22"/>
          <w:szCs w:val="22"/>
        </w:rPr>
        <w:t xml:space="preserve">        </w:t>
      </w:r>
      <w:r w:rsidRPr="00BD157E">
        <w:rPr>
          <w:spacing w:val="0"/>
          <w:sz w:val="22"/>
          <w:szCs w:val="22"/>
          <w:lang w:val="en"/>
        </w:rPr>
        <w:t>American Insurance Association</w:t>
      </w:r>
    </w:p>
    <w:p w:rsidR="00933559" w:rsidRPr="00BD157E" w:rsidRDefault="00933559" w:rsidP="002D746C">
      <w:pPr>
        <w:rPr>
          <w:sz w:val="22"/>
        </w:rPr>
      </w:pPr>
    </w:p>
    <w:sectPr w:rsidR="00933559" w:rsidRPr="00BD15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BC" w:rsidRDefault="009F7BBC" w:rsidP="00EB2C49">
      <w:r>
        <w:separator/>
      </w:r>
    </w:p>
  </w:endnote>
  <w:endnote w:type="continuationSeparator" w:id="0">
    <w:p w:rsidR="009F7BBC" w:rsidRDefault="009F7BBC" w:rsidP="00EB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242915"/>
      <w:docPartObj>
        <w:docPartGallery w:val="Page Numbers (Bottom of Page)"/>
        <w:docPartUnique/>
      </w:docPartObj>
    </w:sdtPr>
    <w:sdtEndPr>
      <w:rPr>
        <w:noProof/>
      </w:rPr>
    </w:sdtEndPr>
    <w:sdtContent>
      <w:p w:rsidR="00EB2C49" w:rsidRDefault="00EB2C49">
        <w:pPr>
          <w:pStyle w:val="Footer"/>
          <w:jc w:val="right"/>
        </w:pPr>
        <w:r>
          <w:fldChar w:fldCharType="begin"/>
        </w:r>
        <w:r>
          <w:instrText xml:space="preserve"> PAGE   \* MERGEFORMAT </w:instrText>
        </w:r>
        <w:r>
          <w:fldChar w:fldCharType="separate"/>
        </w:r>
        <w:r w:rsidR="00CF6E72">
          <w:rPr>
            <w:noProof/>
          </w:rPr>
          <w:t>1</w:t>
        </w:r>
        <w:r>
          <w:rPr>
            <w:noProof/>
          </w:rPr>
          <w:fldChar w:fldCharType="end"/>
        </w:r>
      </w:p>
    </w:sdtContent>
  </w:sdt>
  <w:p w:rsidR="00EB2C49" w:rsidRDefault="00EB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BC" w:rsidRDefault="009F7BBC" w:rsidP="00EB2C49">
      <w:r>
        <w:separator/>
      </w:r>
    </w:p>
  </w:footnote>
  <w:footnote w:type="continuationSeparator" w:id="0">
    <w:p w:rsidR="009F7BBC" w:rsidRDefault="009F7BBC" w:rsidP="00EB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9FD"/>
    <w:multiLevelType w:val="hybridMultilevel"/>
    <w:tmpl w:val="5AE42F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16702"/>
    <w:multiLevelType w:val="hybridMultilevel"/>
    <w:tmpl w:val="FA984F6E"/>
    <w:lvl w:ilvl="0" w:tplc="4830C4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53D791C"/>
    <w:multiLevelType w:val="hybridMultilevel"/>
    <w:tmpl w:val="88B60FE0"/>
    <w:lvl w:ilvl="0" w:tplc="0590D8D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A12299B"/>
    <w:multiLevelType w:val="hybridMultilevel"/>
    <w:tmpl w:val="E93EB2E6"/>
    <w:lvl w:ilvl="0" w:tplc="7B9EFAAA">
      <w:start w:val="1"/>
      <w:numFmt w:val="lowerLetter"/>
      <w:lvlText w:val="(%1)"/>
      <w:lvlJc w:val="left"/>
      <w:pPr>
        <w:ind w:left="1710" w:hanging="10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EF"/>
    <w:rsid w:val="000023E9"/>
    <w:rsid w:val="00027C6B"/>
    <w:rsid w:val="00030B8A"/>
    <w:rsid w:val="00073AE1"/>
    <w:rsid w:val="000D7025"/>
    <w:rsid w:val="000D7CD3"/>
    <w:rsid w:val="000E06E8"/>
    <w:rsid w:val="000E5825"/>
    <w:rsid w:val="00110C11"/>
    <w:rsid w:val="00116AA6"/>
    <w:rsid w:val="00141304"/>
    <w:rsid w:val="00170889"/>
    <w:rsid w:val="001B3A26"/>
    <w:rsid w:val="001C03FD"/>
    <w:rsid w:val="00211750"/>
    <w:rsid w:val="00213F42"/>
    <w:rsid w:val="00254761"/>
    <w:rsid w:val="002A3AEA"/>
    <w:rsid w:val="002D746C"/>
    <w:rsid w:val="002E2D46"/>
    <w:rsid w:val="002E7A75"/>
    <w:rsid w:val="003249C4"/>
    <w:rsid w:val="00362382"/>
    <w:rsid w:val="00386EC6"/>
    <w:rsid w:val="003C7DE5"/>
    <w:rsid w:val="003E5903"/>
    <w:rsid w:val="003E6FE6"/>
    <w:rsid w:val="004833EC"/>
    <w:rsid w:val="004C32FD"/>
    <w:rsid w:val="00501165"/>
    <w:rsid w:val="005433FD"/>
    <w:rsid w:val="0058397C"/>
    <w:rsid w:val="005B32A8"/>
    <w:rsid w:val="005F0026"/>
    <w:rsid w:val="00646FE3"/>
    <w:rsid w:val="006773FE"/>
    <w:rsid w:val="00713B42"/>
    <w:rsid w:val="00734171"/>
    <w:rsid w:val="00754E96"/>
    <w:rsid w:val="0076495D"/>
    <w:rsid w:val="007961CA"/>
    <w:rsid w:val="007A1C85"/>
    <w:rsid w:val="007A3DB5"/>
    <w:rsid w:val="007A6530"/>
    <w:rsid w:val="007C5CEF"/>
    <w:rsid w:val="007D5BBC"/>
    <w:rsid w:val="007F000B"/>
    <w:rsid w:val="00812EE8"/>
    <w:rsid w:val="00840853"/>
    <w:rsid w:val="00850690"/>
    <w:rsid w:val="00852EB0"/>
    <w:rsid w:val="00855F77"/>
    <w:rsid w:val="0086182F"/>
    <w:rsid w:val="008636B2"/>
    <w:rsid w:val="0087168E"/>
    <w:rsid w:val="0087753E"/>
    <w:rsid w:val="008C029B"/>
    <w:rsid w:val="008C0F40"/>
    <w:rsid w:val="008F40EA"/>
    <w:rsid w:val="0090737C"/>
    <w:rsid w:val="00911416"/>
    <w:rsid w:val="00930FBF"/>
    <w:rsid w:val="00933559"/>
    <w:rsid w:val="00947178"/>
    <w:rsid w:val="00954D51"/>
    <w:rsid w:val="00976E0F"/>
    <w:rsid w:val="00981B1E"/>
    <w:rsid w:val="00991E28"/>
    <w:rsid w:val="00996B67"/>
    <w:rsid w:val="009B36F4"/>
    <w:rsid w:val="009F7BBC"/>
    <w:rsid w:val="00A23DFA"/>
    <w:rsid w:val="00AB3BC1"/>
    <w:rsid w:val="00AD4F3F"/>
    <w:rsid w:val="00AD6AB4"/>
    <w:rsid w:val="00B0753F"/>
    <w:rsid w:val="00B16C01"/>
    <w:rsid w:val="00B23607"/>
    <w:rsid w:val="00B338F7"/>
    <w:rsid w:val="00B6448E"/>
    <w:rsid w:val="00B91CCD"/>
    <w:rsid w:val="00BA3AA6"/>
    <w:rsid w:val="00BD157E"/>
    <w:rsid w:val="00BE450C"/>
    <w:rsid w:val="00C132FA"/>
    <w:rsid w:val="00C57824"/>
    <w:rsid w:val="00C57A52"/>
    <w:rsid w:val="00C6105A"/>
    <w:rsid w:val="00C644E1"/>
    <w:rsid w:val="00C71833"/>
    <w:rsid w:val="00C749FB"/>
    <w:rsid w:val="00C811F6"/>
    <w:rsid w:val="00C8611F"/>
    <w:rsid w:val="00CB50BE"/>
    <w:rsid w:val="00CD4933"/>
    <w:rsid w:val="00CD58A8"/>
    <w:rsid w:val="00CF6E72"/>
    <w:rsid w:val="00D231E5"/>
    <w:rsid w:val="00D24FCD"/>
    <w:rsid w:val="00D52390"/>
    <w:rsid w:val="00D64780"/>
    <w:rsid w:val="00D81E8C"/>
    <w:rsid w:val="00D85F2B"/>
    <w:rsid w:val="00D9425D"/>
    <w:rsid w:val="00DA6491"/>
    <w:rsid w:val="00DD1A74"/>
    <w:rsid w:val="00DE2AB3"/>
    <w:rsid w:val="00DF1B96"/>
    <w:rsid w:val="00EB2C49"/>
    <w:rsid w:val="00EC58D4"/>
    <w:rsid w:val="00EE6625"/>
    <w:rsid w:val="00EF412A"/>
    <w:rsid w:val="00F01CDE"/>
    <w:rsid w:val="00F10B1A"/>
    <w:rsid w:val="00F27703"/>
    <w:rsid w:val="00F57328"/>
    <w:rsid w:val="00F80C89"/>
    <w:rsid w:val="00FD3004"/>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D3C2F-293E-409E-A7A2-1A4F3A5F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CEF"/>
    <w:rPr>
      <w:rFonts w:ascii="Tahoma" w:hAnsi="Tahoma" w:cs="Tahoma"/>
      <w:sz w:val="16"/>
      <w:szCs w:val="16"/>
    </w:rPr>
  </w:style>
  <w:style w:type="character" w:customStyle="1" w:styleId="BalloonTextChar">
    <w:name w:val="Balloon Text Char"/>
    <w:basedOn w:val="DefaultParagraphFont"/>
    <w:link w:val="BalloonText"/>
    <w:uiPriority w:val="99"/>
    <w:semiHidden/>
    <w:rsid w:val="007C5CEF"/>
    <w:rPr>
      <w:rFonts w:ascii="Tahoma" w:hAnsi="Tahoma" w:cs="Tahoma"/>
      <w:sz w:val="16"/>
      <w:szCs w:val="16"/>
    </w:rPr>
  </w:style>
  <w:style w:type="paragraph" w:styleId="MessageHeader">
    <w:name w:val="Message Header"/>
    <w:basedOn w:val="BodyText"/>
    <w:link w:val="MessageHeaderChar"/>
    <w:rsid w:val="007C5CEF"/>
    <w:pPr>
      <w:keepLines/>
      <w:spacing w:line="180" w:lineRule="atLeast"/>
      <w:ind w:left="720" w:hanging="720"/>
    </w:pPr>
    <w:rPr>
      <w:rFonts w:eastAsia="Times New Roman" w:cs="Times New Roman"/>
      <w:color w:val="000000"/>
      <w:spacing w:val="-5"/>
      <w:szCs w:val="20"/>
    </w:rPr>
  </w:style>
  <w:style w:type="character" w:customStyle="1" w:styleId="MessageHeaderChar">
    <w:name w:val="Message Header Char"/>
    <w:basedOn w:val="DefaultParagraphFont"/>
    <w:link w:val="MessageHeader"/>
    <w:rsid w:val="007C5CEF"/>
    <w:rPr>
      <w:rFonts w:eastAsia="Times New Roman" w:cs="Times New Roman"/>
      <w:color w:val="000000"/>
      <w:spacing w:val="-5"/>
      <w:szCs w:val="20"/>
    </w:rPr>
  </w:style>
  <w:style w:type="character" w:customStyle="1" w:styleId="MessageHeaderLabel">
    <w:name w:val="Message Header Label"/>
    <w:rsid w:val="007C5CEF"/>
    <w:rPr>
      <w:rFonts w:ascii="Arial Black" w:hAnsi="Arial Black"/>
      <w:spacing w:val="-10"/>
      <w:sz w:val="18"/>
    </w:rPr>
  </w:style>
  <w:style w:type="character" w:styleId="Hyperlink">
    <w:name w:val="Hyperlink"/>
    <w:rsid w:val="007C5CEF"/>
    <w:rPr>
      <w:color w:val="3754D4"/>
      <w:u w:val="single"/>
    </w:rPr>
  </w:style>
  <w:style w:type="paragraph" w:styleId="BodyText">
    <w:name w:val="Body Text"/>
    <w:basedOn w:val="Normal"/>
    <w:link w:val="BodyTextChar"/>
    <w:uiPriority w:val="99"/>
    <w:semiHidden/>
    <w:unhideWhenUsed/>
    <w:rsid w:val="007C5CEF"/>
    <w:pPr>
      <w:spacing w:after="120"/>
    </w:pPr>
  </w:style>
  <w:style w:type="character" w:customStyle="1" w:styleId="BodyTextChar">
    <w:name w:val="Body Text Char"/>
    <w:basedOn w:val="DefaultParagraphFont"/>
    <w:link w:val="BodyText"/>
    <w:uiPriority w:val="99"/>
    <w:semiHidden/>
    <w:rsid w:val="007C5CEF"/>
  </w:style>
  <w:style w:type="character" w:styleId="Strong">
    <w:name w:val="Strong"/>
    <w:basedOn w:val="DefaultParagraphFont"/>
    <w:uiPriority w:val="22"/>
    <w:qFormat/>
    <w:rsid w:val="007C5CEF"/>
    <w:rPr>
      <w:b/>
      <w:bCs/>
    </w:rPr>
  </w:style>
  <w:style w:type="paragraph" w:styleId="ListParagraph">
    <w:name w:val="List Paragraph"/>
    <w:basedOn w:val="Normal"/>
    <w:uiPriority w:val="34"/>
    <w:qFormat/>
    <w:rsid w:val="002A3AEA"/>
    <w:pPr>
      <w:spacing w:after="160" w:line="259" w:lineRule="auto"/>
      <w:ind w:left="720"/>
      <w:contextualSpacing/>
    </w:pPr>
    <w:rPr>
      <w:rFonts w:ascii="Calibri" w:eastAsia="Calibri" w:hAnsi="Calibri" w:cs="Times New Roman"/>
      <w:sz w:val="22"/>
    </w:rPr>
  </w:style>
  <w:style w:type="paragraph" w:styleId="CommentText">
    <w:name w:val="annotation text"/>
    <w:basedOn w:val="Normal"/>
    <w:link w:val="CommentTextChar"/>
    <w:uiPriority w:val="99"/>
    <w:semiHidden/>
    <w:unhideWhenUsed/>
    <w:rsid w:val="00855F77"/>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55F77"/>
    <w:rPr>
      <w:rFonts w:ascii="Calibri" w:eastAsia="Calibri" w:hAnsi="Calibri" w:cs="Times New Roman"/>
      <w:sz w:val="20"/>
      <w:szCs w:val="20"/>
    </w:rPr>
  </w:style>
  <w:style w:type="paragraph" w:customStyle="1" w:styleId="Default">
    <w:name w:val="Default"/>
    <w:rsid w:val="00073AE1"/>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B2C49"/>
    <w:pPr>
      <w:tabs>
        <w:tab w:val="center" w:pos="4680"/>
        <w:tab w:val="right" w:pos="9360"/>
      </w:tabs>
    </w:pPr>
  </w:style>
  <w:style w:type="character" w:customStyle="1" w:styleId="HeaderChar">
    <w:name w:val="Header Char"/>
    <w:basedOn w:val="DefaultParagraphFont"/>
    <w:link w:val="Header"/>
    <w:uiPriority w:val="99"/>
    <w:rsid w:val="00EB2C49"/>
  </w:style>
  <w:style w:type="paragraph" w:styleId="Footer">
    <w:name w:val="footer"/>
    <w:basedOn w:val="Normal"/>
    <w:link w:val="FooterChar"/>
    <w:uiPriority w:val="99"/>
    <w:unhideWhenUsed/>
    <w:rsid w:val="00EB2C49"/>
    <w:pPr>
      <w:tabs>
        <w:tab w:val="center" w:pos="4680"/>
        <w:tab w:val="right" w:pos="9360"/>
      </w:tabs>
    </w:pPr>
  </w:style>
  <w:style w:type="character" w:customStyle="1" w:styleId="FooterChar">
    <w:name w:val="Footer Char"/>
    <w:basedOn w:val="DefaultParagraphFont"/>
    <w:link w:val="Footer"/>
    <w:uiPriority w:val="99"/>
    <w:rsid w:val="00EB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subject=WCAB%20-%20Rules%20of%20Practice%20and%20Procedure%20-%20Article%201%20-7"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Stacy Jones</cp:lastModifiedBy>
  <cp:revision>2</cp:revision>
  <cp:lastPrinted>2015-07-10T21:39:00Z</cp:lastPrinted>
  <dcterms:created xsi:type="dcterms:W3CDTF">2019-06-14T18:50:00Z</dcterms:created>
  <dcterms:modified xsi:type="dcterms:W3CDTF">2019-06-14T18:50:00Z</dcterms:modified>
</cp:coreProperties>
</file>