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FCF5EB" w14:textId="77777777" w:rsidR="00DF1ABF" w:rsidRPr="00F42F03" w:rsidRDefault="00DF1ABF" w:rsidP="00F42F03">
      <w:pPr>
        <w:spacing w:after="288" w:line="270" w:lineRule="atLeast"/>
        <w:jc w:val="center"/>
        <w:rPr>
          <w:rFonts w:ascii="Arial" w:eastAsia="Times New Roman" w:hAnsi="Arial" w:cs="Arial"/>
          <w:b/>
          <w:color w:val="000000" w:themeColor="text1"/>
          <w:u w:val="single"/>
        </w:rPr>
      </w:pPr>
      <w:r w:rsidRPr="00F42F03">
        <w:rPr>
          <w:rFonts w:ascii="Arial" w:eastAsia="Times New Roman" w:hAnsi="Arial" w:cs="Arial"/>
          <w:b/>
          <w:color w:val="000000" w:themeColor="text1"/>
          <w:u w:val="single"/>
        </w:rPr>
        <w:t xml:space="preserve">DWC </w:t>
      </w:r>
      <w:r w:rsidR="00C96E1C" w:rsidRPr="00F42F03">
        <w:rPr>
          <w:rFonts w:ascii="Arial" w:eastAsia="Times New Roman" w:hAnsi="Arial" w:cs="Arial"/>
          <w:b/>
          <w:color w:val="000000" w:themeColor="text1"/>
          <w:u w:val="single"/>
        </w:rPr>
        <w:t>– Proposed</w:t>
      </w:r>
      <w:r w:rsidR="00A40951" w:rsidRPr="00F42F03">
        <w:rPr>
          <w:rFonts w:ascii="Arial" w:eastAsia="Times New Roman" w:hAnsi="Arial" w:cs="Arial"/>
          <w:b/>
          <w:color w:val="000000" w:themeColor="text1"/>
          <w:u w:val="single"/>
        </w:rPr>
        <w:t xml:space="preserve"> </w:t>
      </w:r>
      <w:r w:rsidRPr="00F42F03">
        <w:rPr>
          <w:rFonts w:ascii="Arial" w:eastAsia="Times New Roman" w:hAnsi="Arial" w:cs="Arial"/>
          <w:b/>
          <w:color w:val="000000" w:themeColor="text1"/>
          <w:u w:val="single"/>
        </w:rPr>
        <w:t>QME Emergency Regulation in Response to COVID-19</w:t>
      </w:r>
    </w:p>
    <w:p w14:paraId="4672F789" w14:textId="77777777" w:rsidR="00DF1ABF" w:rsidRDefault="00A40951" w:rsidP="00F42F03">
      <w:pPr>
        <w:pStyle w:val="ListParagraph"/>
        <w:spacing w:after="288" w:line="270" w:lineRule="atLeast"/>
        <w:ind w:left="0"/>
        <w:rPr>
          <w:rFonts w:ascii="Arial" w:eastAsia="Times New Roman" w:hAnsi="Arial" w:cs="Arial"/>
          <w:b/>
          <w:color w:val="000000" w:themeColor="text1"/>
        </w:rPr>
      </w:pPr>
      <w:r w:rsidRPr="00433A0B">
        <w:rPr>
          <w:rFonts w:ascii="Arial" w:hAnsi="Arial" w:cs="Arial"/>
          <w:b/>
        </w:rPr>
        <w:t xml:space="preserve">§ </w:t>
      </w:r>
      <w:r w:rsidR="008B6525">
        <w:rPr>
          <w:rFonts w:ascii="Arial" w:hAnsi="Arial" w:cs="Arial"/>
          <w:b/>
        </w:rPr>
        <w:t>78</w:t>
      </w:r>
      <w:r>
        <w:rPr>
          <w:rFonts w:ascii="Arial" w:hAnsi="Arial" w:cs="Arial"/>
        </w:rPr>
        <w:tab/>
      </w:r>
      <w:r w:rsidRPr="00C96E1C">
        <w:rPr>
          <w:rFonts w:ascii="Arial" w:eastAsia="Times New Roman" w:hAnsi="Arial" w:cs="Arial"/>
          <w:b/>
          <w:color w:val="000000" w:themeColor="text1"/>
        </w:rPr>
        <w:t>QME Emergency Regulation in Response to COVID-19</w:t>
      </w:r>
    </w:p>
    <w:p w14:paraId="438F2154" w14:textId="77777777" w:rsidR="00EB2CFF" w:rsidRDefault="00EB2CFF" w:rsidP="00F42F03">
      <w:pPr>
        <w:pStyle w:val="ListParagraph"/>
        <w:spacing w:after="120" w:line="270" w:lineRule="atLeast"/>
        <w:rPr>
          <w:rFonts w:ascii="Arial" w:eastAsia="Times New Roman" w:hAnsi="Arial" w:cs="Arial"/>
          <w:color w:val="000000" w:themeColor="text1"/>
        </w:rPr>
      </w:pPr>
    </w:p>
    <w:p w14:paraId="64FE7632" w14:textId="77777777" w:rsidR="007A4EAF" w:rsidRDefault="00A40951" w:rsidP="00D42BC0">
      <w:pPr>
        <w:spacing w:line="270" w:lineRule="atLeast"/>
        <w:ind w:left="1440" w:hanging="1080"/>
        <w:rPr>
          <w:rFonts w:ascii="Arial" w:eastAsia="Times New Roman" w:hAnsi="Arial" w:cs="Arial"/>
          <w:color w:val="000000" w:themeColor="text1"/>
        </w:rPr>
      </w:pPr>
      <w:r>
        <w:rPr>
          <w:rFonts w:ascii="Arial" w:eastAsia="Times New Roman" w:hAnsi="Arial" w:cs="Arial"/>
          <w:color w:val="000000" w:themeColor="text1"/>
        </w:rPr>
        <w:t>(a)</w:t>
      </w:r>
      <w:r w:rsidR="00EB2CFF">
        <w:rPr>
          <w:rFonts w:ascii="Arial" w:eastAsia="Times New Roman" w:hAnsi="Arial" w:cs="Arial"/>
          <w:color w:val="000000" w:themeColor="text1"/>
        </w:rPr>
        <w:tab/>
      </w:r>
      <w:r w:rsidR="00DF1ABF" w:rsidRPr="002537E0">
        <w:rPr>
          <w:rFonts w:ascii="Arial" w:eastAsia="Times New Roman" w:hAnsi="Arial" w:cs="Arial"/>
          <w:color w:val="000000" w:themeColor="text1"/>
        </w:rPr>
        <w:t xml:space="preserve">During the period that </w:t>
      </w:r>
      <w:r w:rsidR="000B1FDE" w:rsidRPr="002537E0">
        <w:rPr>
          <w:rFonts w:ascii="Arial" w:eastAsia="Times New Roman" w:hAnsi="Arial" w:cs="Arial"/>
          <w:color w:val="000000" w:themeColor="text1"/>
        </w:rPr>
        <w:t xml:space="preserve">this emergency regulation is in effect </w:t>
      </w:r>
      <w:r w:rsidR="004118E9" w:rsidRPr="002537E0">
        <w:rPr>
          <w:rFonts w:ascii="Arial" w:eastAsia="Times New Roman" w:hAnsi="Arial" w:cs="Arial"/>
          <w:color w:val="000000" w:themeColor="text1"/>
        </w:rPr>
        <w:t xml:space="preserve">a </w:t>
      </w:r>
      <w:r w:rsidR="000457E2" w:rsidRPr="002537E0">
        <w:rPr>
          <w:rFonts w:ascii="Arial" w:eastAsia="Times New Roman" w:hAnsi="Arial" w:cs="Arial"/>
          <w:color w:val="000000" w:themeColor="text1"/>
        </w:rPr>
        <w:t>QME</w:t>
      </w:r>
      <w:r w:rsidR="00DD22AD">
        <w:rPr>
          <w:rFonts w:ascii="Arial" w:eastAsia="Times New Roman" w:hAnsi="Arial" w:cs="Arial"/>
          <w:color w:val="000000" w:themeColor="text1"/>
        </w:rPr>
        <w:t>,</w:t>
      </w:r>
      <w:r w:rsidR="000457E2" w:rsidRPr="002537E0">
        <w:rPr>
          <w:rFonts w:ascii="Arial" w:eastAsia="Times New Roman" w:hAnsi="Arial" w:cs="Arial"/>
          <w:color w:val="000000" w:themeColor="text1"/>
        </w:rPr>
        <w:t xml:space="preserve"> </w:t>
      </w:r>
      <w:r w:rsidR="000457E2" w:rsidRPr="007A4EAF">
        <w:rPr>
          <w:rFonts w:ascii="Arial" w:eastAsia="Times New Roman" w:hAnsi="Arial" w:cs="Arial"/>
          <w:color w:val="000000" w:themeColor="text1"/>
        </w:rPr>
        <w:t>AME</w:t>
      </w:r>
      <w:r w:rsidR="00DD22AD" w:rsidRPr="007A4EAF">
        <w:rPr>
          <w:rFonts w:ascii="Arial" w:eastAsia="Times New Roman" w:hAnsi="Arial" w:cs="Arial"/>
          <w:color w:val="000000" w:themeColor="text1"/>
        </w:rPr>
        <w:t>, o</w:t>
      </w:r>
      <w:r w:rsidR="00F84000" w:rsidRPr="007A4EAF">
        <w:rPr>
          <w:rFonts w:ascii="Arial" w:eastAsia="Times New Roman" w:hAnsi="Arial" w:cs="Arial"/>
          <w:color w:val="000000" w:themeColor="text1"/>
        </w:rPr>
        <w:t>r other medical-</w:t>
      </w:r>
      <w:r w:rsidR="00DD22AD" w:rsidRPr="007A4EAF">
        <w:rPr>
          <w:rFonts w:ascii="Arial" w:eastAsia="Times New Roman" w:hAnsi="Arial" w:cs="Arial"/>
          <w:color w:val="000000" w:themeColor="text1"/>
        </w:rPr>
        <w:t>legal</w:t>
      </w:r>
      <w:r w:rsidR="000457E2" w:rsidRPr="007A4EAF">
        <w:rPr>
          <w:rFonts w:ascii="Arial" w:eastAsia="Times New Roman" w:hAnsi="Arial" w:cs="Arial"/>
          <w:color w:val="000000" w:themeColor="text1"/>
        </w:rPr>
        <w:t xml:space="preserve"> evaluation</w:t>
      </w:r>
      <w:r w:rsidR="000B1FDE" w:rsidRPr="007A4EAF">
        <w:rPr>
          <w:rFonts w:ascii="Arial" w:eastAsia="Times New Roman" w:hAnsi="Arial" w:cs="Arial"/>
          <w:color w:val="000000" w:themeColor="text1"/>
        </w:rPr>
        <w:t xml:space="preserve"> </w:t>
      </w:r>
      <w:r w:rsidR="00A638C7">
        <w:rPr>
          <w:rFonts w:ascii="Arial" w:eastAsia="Times New Roman" w:hAnsi="Arial" w:cs="Arial"/>
          <w:color w:val="000000" w:themeColor="text1"/>
        </w:rPr>
        <w:t>may</w:t>
      </w:r>
      <w:r w:rsidR="000B1FDE" w:rsidRPr="007A4EAF">
        <w:rPr>
          <w:rFonts w:ascii="Arial" w:eastAsia="Times New Roman" w:hAnsi="Arial" w:cs="Arial"/>
          <w:color w:val="000000" w:themeColor="text1"/>
        </w:rPr>
        <w:t xml:space="preserve"> be </w:t>
      </w:r>
      <w:r w:rsidR="00DD22AD" w:rsidRPr="007A4EAF">
        <w:rPr>
          <w:rFonts w:ascii="Arial" w:eastAsia="Times New Roman" w:hAnsi="Arial" w:cs="Arial"/>
          <w:color w:val="000000" w:themeColor="text1"/>
        </w:rPr>
        <w:t>performed and remunerated</w:t>
      </w:r>
      <w:r w:rsidR="000B1FDE" w:rsidRPr="007A4EAF">
        <w:rPr>
          <w:rFonts w:ascii="Arial" w:eastAsia="Times New Roman" w:hAnsi="Arial" w:cs="Arial"/>
          <w:color w:val="000000" w:themeColor="text1"/>
        </w:rPr>
        <w:t xml:space="preserve"> as follows: </w:t>
      </w:r>
    </w:p>
    <w:p w14:paraId="11093E79" w14:textId="77777777" w:rsidR="007A4EAF" w:rsidRDefault="007A4EAF" w:rsidP="007A4EAF">
      <w:pPr>
        <w:spacing w:line="270" w:lineRule="atLeast"/>
        <w:ind w:left="360" w:firstLine="360"/>
        <w:rPr>
          <w:rFonts w:ascii="Arial" w:eastAsia="Times New Roman" w:hAnsi="Arial" w:cs="Arial"/>
          <w:color w:val="000000" w:themeColor="text1"/>
        </w:rPr>
      </w:pPr>
    </w:p>
    <w:p w14:paraId="2AAE676C" w14:textId="77777777" w:rsidR="00DF1ABF" w:rsidRPr="007A4EAF" w:rsidRDefault="004C493B" w:rsidP="00BD5F3E">
      <w:pPr>
        <w:pStyle w:val="ListParagraph"/>
        <w:numPr>
          <w:ilvl w:val="0"/>
          <w:numId w:val="4"/>
        </w:numPr>
        <w:spacing w:line="270" w:lineRule="atLeast"/>
        <w:rPr>
          <w:rFonts w:ascii="Arial" w:hAnsi="Arial" w:cs="Arial"/>
        </w:rPr>
      </w:pPr>
      <w:r w:rsidRPr="007A4EAF">
        <w:rPr>
          <w:rFonts w:ascii="Arial" w:eastAsia="Times New Roman" w:hAnsi="Arial" w:cs="Arial"/>
          <w:color w:val="000000" w:themeColor="text1"/>
        </w:rPr>
        <w:t xml:space="preserve">A QME or AME </w:t>
      </w:r>
      <w:r w:rsidR="00BD5F3E">
        <w:rPr>
          <w:rFonts w:ascii="Arial" w:eastAsia="Times New Roman" w:hAnsi="Arial" w:cs="Arial"/>
          <w:color w:val="000000" w:themeColor="text1"/>
        </w:rPr>
        <w:t xml:space="preserve">may </w:t>
      </w:r>
      <w:r w:rsidRPr="007A4EAF">
        <w:rPr>
          <w:rFonts w:ascii="Arial" w:eastAsia="Times New Roman" w:hAnsi="Arial" w:cs="Arial"/>
          <w:color w:val="000000" w:themeColor="text1"/>
        </w:rPr>
        <w:t>r</w:t>
      </w:r>
      <w:r w:rsidR="00DF1ABF" w:rsidRPr="007A4EAF">
        <w:rPr>
          <w:rFonts w:ascii="Arial" w:hAnsi="Arial" w:cs="Arial"/>
        </w:rPr>
        <w:t xml:space="preserve">eschedule in-person medical-legal appointments </w:t>
      </w:r>
      <w:r w:rsidRPr="007A4EAF">
        <w:rPr>
          <w:rFonts w:ascii="Arial" w:hAnsi="Arial" w:cs="Arial"/>
        </w:rPr>
        <w:t>currently</w:t>
      </w:r>
      <w:r w:rsidR="00F84000" w:rsidRPr="007A4EAF">
        <w:rPr>
          <w:rFonts w:ascii="Arial" w:hAnsi="Arial" w:cs="Arial"/>
        </w:rPr>
        <w:t xml:space="preserve"> calendared</w:t>
      </w:r>
      <w:r w:rsidR="00DF1ABF" w:rsidRPr="007A4EAF">
        <w:rPr>
          <w:rFonts w:ascii="Arial" w:hAnsi="Arial" w:cs="Arial"/>
        </w:rPr>
        <w:t xml:space="preserve">. </w:t>
      </w:r>
      <w:r w:rsidR="00BD5F3E">
        <w:rPr>
          <w:rFonts w:ascii="Arial" w:hAnsi="Arial" w:cs="Arial"/>
        </w:rPr>
        <w:t xml:space="preserve">When a currently calendared in-person medical-legal appointment is rescheduled, the </w:t>
      </w:r>
      <w:r w:rsidR="00DF1ABF" w:rsidRPr="007A4EAF">
        <w:rPr>
          <w:rFonts w:ascii="Arial" w:hAnsi="Arial" w:cs="Arial"/>
        </w:rPr>
        <w:t xml:space="preserve">physician shall reschedule </w:t>
      </w:r>
      <w:r w:rsidR="000B1FDE" w:rsidRPr="007A4EAF">
        <w:rPr>
          <w:rFonts w:ascii="Arial" w:hAnsi="Arial" w:cs="Arial"/>
        </w:rPr>
        <w:t>the evaluation</w:t>
      </w:r>
      <w:r w:rsidRPr="007A4EAF">
        <w:rPr>
          <w:rFonts w:ascii="Arial" w:hAnsi="Arial" w:cs="Arial"/>
        </w:rPr>
        <w:t xml:space="preserve"> to take place</w:t>
      </w:r>
      <w:r w:rsidR="000B1FDE" w:rsidRPr="007A4EAF">
        <w:rPr>
          <w:rFonts w:ascii="Arial" w:hAnsi="Arial" w:cs="Arial"/>
        </w:rPr>
        <w:t xml:space="preserve"> </w:t>
      </w:r>
      <w:r w:rsidR="00DF1ABF" w:rsidRPr="007A4EAF">
        <w:rPr>
          <w:rFonts w:ascii="Arial" w:hAnsi="Arial" w:cs="Arial"/>
        </w:rPr>
        <w:t xml:space="preserve">within 90 days after the </w:t>
      </w:r>
      <w:r w:rsidR="00BD5F3E">
        <w:rPr>
          <w:rFonts w:ascii="Arial" w:hAnsi="Arial" w:cs="Arial"/>
        </w:rPr>
        <w:t xml:space="preserve">date that both the statewide </w:t>
      </w:r>
      <w:r w:rsidR="00677FFE">
        <w:rPr>
          <w:rFonts w:ascii="Arial" w:hAnsi="Arial" w:cs="Arial"/>
        </w:rPr>
        <w:t>stay</w:t>
      </w:r>
      <w:r w:rsidR="00277131">
        <w:rPr>
          <w:rFonts w:ascii="Arial" w:hAnsi="Arial" w:cs="Arial"/>
        </w:rPr>
        <w:t>-</w:t>
      </w:r>
      <w:r w:rsidR="00677FFE">
        <w:rPr>
          <w:rFonts w:ascii="Arial" w:hAnsi="Arial" w:cs="Arial"/>
        </w:rPr>
        <w:t>at</w:t>
      </w:r>
      <w:r w:rsidR="00277131">
        <w:rPr>
          <w:rFonts w:ascii="Arial" w:hAnsi="Arial" w:cs="Arial"/>
        </w:rPr>
        <w:t>-</w:t>
      </w:r>
      <w:r w:rsidR="00677FFE">
        <w:rPr>
          <w:rFonts w:ascii="Arial" w:hAnsi="Arial" w:cs="Arial"/>
        </w:rPr>
        <w:t>home</w:t>
      </w:r>
      <w:r w:rsidR="00BD5F3E">
        <w:rPr>
          <w:rFonts w:ascii="Arial" w:hAnsi="Arial" w:cs="Arial"/>
        </w:rPr>
        <w:t xml:space="preserve"> </w:t>
      </w:r>
      <w:r w:rsidR="00DF1ABF" w:rsidRPr="007A4EAF">
        <w:rPr>
          <w:rFonts w:ascii="Arial" w:hAnsi="Arial" w:cs="Arial"/>
        </w:rPr>
        <w:t>order limiting travel outside one’s home</w:t>
      </w:r>
      <w:r w:rsidR="00BD5F3E">
        <w:rPr>
          <w:rFonts w:ascii="Arial" w:hAnsi="Arial" w:cs="Arial"/>
        </w:rPr>
        <w:t>,</w:t>
      </w:r>
      <w:r w:rsidR="00BD5F3E" w:rsidRPr="00BD5F3E">
        <w:rPr>
          <w:rFonts w:ascii="Arial" w:hAnsi="Arial" w:cs="Arial"/>
        </w:rPr>
        <w:t xml:space="preserve"> </w:t>
      </w:r>
      <w:r w:rsidR="00BD5F3E">
        <w:rPr>
          <w:rFonts w:ascii="Arial" w:hAnsi="Arial" w:cs="Arial"/>
        </w:rPr>
        <w:t xml:space="preserve">and </w:t>
      </w:r>
      <w:r w:rsidR="00BD5F3E" w:rsidRPr="00BD5F3E">
        <w:rPr>
          <w:rFonts w:ascii="Arial" w:hAnsi="Arial" w:cs="Arial"/>
        </w:rPr>
        <w:t xml:space="preserve">any </w:t>
      </w:r>
      <w:r w:rsidR="00BD5F3E">
        <w:rPr>
          <w:rFonts w:ascii="Arial" w:hAnsi="Arial" w:cs="Arial"/>
        </w:rPr>
        <w:t xml:space="preserve">similar </w:t>
      </w:r>
      <w:r w:rsidR="00BD5F3E" w:rsidRPr="00BD5F3E">
        <w:rPr>
          <w:rFonts w:ascii="Arial" w:hAnsi="Arial" w:cs="Arial"/>
        </w:rPr>
        <w:t>local order in the jurisdiction where the</w:t>
      </w:r>
      <w:r w:rsidR="00B24233">
        <w:rPr>
          <w:rFonts w:ascii="Arial" w:hAnsi="Arial" w:cs="Arial"/>
        </w:rPr>
        <w:t xml:space="preserve"> injured worker resides or the</w:t>
      </w:r>
      <w:r w:rsidR="00BD5F3E" w:rsidRPr="00BD5F3E">
        <w:rPr>
          <w:rFonts w:ascii="Arial" w:hAnsi="Arial" w:cs="Arial"/>
        </w:rPr>
        <w:t xml:space="preserve"> visit will occur, </w:t>
      </w:r>
      <w:r w:rsidR="00BD5F3E">
        <w:rPr>
          <w:rFonts w:ascii="Arial" w:hAnsi="Arial" w:cs="Arial"/>
        </w:rPr>
        <w:t xml:space="preserve">if applicable, are </w:t>
      </w:r>
      <w:r w:rsidR="00DF1ABF" w:rsidRPr="007A4EAF">
        <w:rPr>
          <w:rFonts w:ascii="Arial" w:hAnsi="Arial" w:cs="Arial"/>
        </w:rPr>
        <w:t>lifted; or</w:t>
      </w:r>
    </w:p>
    <w:p w14:paraId="5160183A" w14:textId="77777777" w:rsidR="00A40951" w:rsidRPr="00C96E1C" w:rsidRDefault="00A40951" w:rsidP="00C96E1C">
      <w:pPr>
        <w:pStyle w:val="ListParagraph"/>
        <w:spacing w:after="288" w:line="270" w:lineRule="atLeast"/>
        <w:ind w:left="2160"/>
        <w:rPr>
          <w:rFonts w:ascii="Arial" w:hAnsi="Arial" w:cs="Arial"/>
        </w:rPr>
      </w:pPr>
    </w:p>
    <w:p w14:paraId="6E8E59B0" w14:textId="77777777" w:rsidR="00A40951" w:rsidRPr="00B35272" w:rsidRDefault="00A40951" w:rsidP="00BD5F3E">
      <w:pPr>
        <w:pStyle w:val="ListParagraph"/>
        <w:numPr>
          <w:ilvl w:val="0"/>
          <w:numId w:val="4"/>
        </w:numPr>
        <w:spacing w:after="288" w:line="270" w:lineRule="atLeast"/>
        <w:rPr>
          <w:rFonts w:ascii="Arial" w:hAnsi="Arial" w:cs="Arial"/>
        </w:rPr>
      </w:pPr>
      <w:r>
        <w:rPr>
          <w:rFonts w:ascii="Arial" w:eastAsia="Times New Roman" w:hAnsi="Arial" w:cs="Arial"/>
          <w:color w:val="000000" w:themeColor="text1"/>
        </w:rPr>
        <w:t xml:space="preserve">A </w:t>
      </w:r>
      <w:r w:rsidRPr="000B1FDE">
        <w:rPr>
          <w:rFonts w:ascii="Arial" w:eastAsia="Times New Roman" w:hAnsi="Arial" w:cs="Arial"/>
          <w:color w:val="000000" w:themeColor="text1"/>
        </w:rPr>
        <w:t xml:space="preserve">QME or AME </w:t>
      </w:r>
      <w:r w:rsidR="00BD5F3E">
        <w:rPr>
          <w:rFonts w:ascii="Arial" w:eastAsia="Times New Roman" w:hAnsi="Arial" w:cs="Arial"/>
          <w:color w:val="000000" w:themeColor="text1"/>
        </w:rPr>
        <w:t xml:space="preserve">may </w:t>
      </w:r>
      <w:r w:rsidRPr="000B1FDE">
        <w:rPr>
          <w:rFonts w:ascii="Arial" w:eastAsia="Times New Roman" w:hAnsi="Arial" w:cs="Arial"/>
          <w:color w:val="000000" w:themeColor="text1"/>
        </w:rPr>
        <w:t xml:space="preserve">provide a record review and injured worker </w:t>
      </w:r>
      <w:r w:rsidR="00DD7BDA" w:rsidRPr="00B35272">
        <w:rPr>
          <w:rFonts w:ascii="Arial" w:eastAsia="Times New Roman" w:hAnsi="Arial" w:cs="Arial"/>
          <w:color w:val="000000" w:themeColor="text1"/>
        </w:rPr>
        <w:t xml:space="preserve">electronic </w:t>
      </w:r>
      <w:r w:rsidRPr="00B35272">
        <w:rPr>
          <w:rFonts w:ascii="Arial" w:eastAsia="Times New Roman" w:hAnsi="Arial" w:cs="Arial"/>
          <w:color w:val="000000" w:themeColor="text1"/>
        </w:rPr>
        <w:t xml:space="preserve">interview summary report. The physician </w:t>
      </w:r>
      <w:r w:rsidR="00BD5F3E" w:rsidRPr="00B35272">
        <w:rPr>
          <w:rFonts w:ascii="Arial" w:eastAsia="Times New Roman" w:hAnsi="Arial" w:cs="Arial"/>
          <w:color w:val="000000" w:themeColor="text1"/>
        </w:rPr>
        <w:t xml:space="preserve">may </w:t>
      </w:r>
      <w:r w:rsidRPr="00B35272">
        <w:rPr>
          <w:rFonts w:ascii="Arial" w:eastAsia="Times New Roman" w:hAnsi="Arial" w:cs="Arial"/>
          <w:color w:val="000000" w:themeColor="text1"/>
        </w:rPr>
        <w:t xml:space="preserve">interview the injured worker either by </w:t>
      </w:r>
      <w:r w:rsidR="00BD5F3E" w:rsidRPr="00B35272">
        <w:rPr>
          <w:rFonts w:ascii="Arial" w:eastAsia="Times New Roman" w:hAnsi="Arial" w:cs="Arial"/>
          <w:color w:val="000000" w:themeColor="text1"/>
        </w:rPr>
        <w:t>tele</w:t>
      </w:r>
      <w:r w:rsidRPr="00B35272">
        <w:rPr>
          <w:rFonts w:ascii="Arial" w:eastAsia="Times New Roman" w:hAnsi="Arial" w:cs="Arial"/>
          <w:color w:val="000000" w:themeColor="text1"/>
        </w:rPr>
        <w:t xml:space="preserve">phone or </w:t>
      </w:r>
      <w:r w:rsidR="00BD5F3E" w:rsidRPr="00B35272">
        <w:rPr>
          <w:rFonts w:ascii="Arial" w:eastAsia="Times New Roman" w:hAnsi="Arial" w:cs="Arial"/>
          <w:color w:val="000000" w:themeColor="text1"/>
        </w:rPr>
        <w:t xml:space="preserve">by any </w:t>
      </w:r>
      <w:r w:rsidRPr="00B35272">
        <w:rPr>
          <w:rFonts w:ascii="Arial" w:eastAsia="Times New Roman" w:hAnsi="Arial" w:cs="Arial"/>
          <w:color w:val="000000" w:themeColor="text1"/>
        </w:rPr>
        <w:t xml:space="preserve">form of video conferencing. Once the </w:t>
      </w:r>
      <w:r w:rsidR="00BD5F3E" w:rsidRPr="00B35272">
        <w:rPr>
          <w:rFonts w:ascii="Arial" w:eastAsia="Times New Roman" w:hAnsi="Arial" w:cs="Arial"/>
          <w:color w:val="000000" w:themeColor="text1"/>
        </w:rPr>
        <w:t xml:space="preserve">statewide </w:t>
      </w:r>
      <w:r w:rsidR="00677FFE" w:rsidRPr="00B35272">
        <w:rPr>
          <w:rFonts w:ascii="Arial" w:eastAsia="Times New Roman" w:hAnsi="Arial" w:cs="Arial"/>
          <w:color w:val="000000" w:themeColor="text1"/>
        </w:rPr>
        <w:t>stay</w:t>
      </w:r>
      <w:r w:rsidR="00277131" w:rsidRPr="00B35272">
        <w:rPr>
          <w:rFonts w:ascii="Arial" w:eastAsia="Times New Roman" w:hAnsi="Arial" w:cs="Arial"/>
          <w:color w:val="000000" w:themeColor="text1"/>
        </w:rPr>
        <w:t>-</w:t>
      </w:r>
      <w:r w:rsidR="00677FFE" w:rsidRPr="00B35272">
        <w:rPr>
          <w:rFonts w:ascii="Arial" w:eastAsia="Times New Roman" w:hAnsi="Arial" w:cs="Arial"/>
          <w:color w:val="000000" w:themeColor="text1"/>
        </w:rPr>
        <w:t>at</w:t>
      </w:r>
      <w:r w:rsidR="00277131" w:rsidRPr="00B35272">
        <w:rPr>
          <w:rFonts w:ascii="Arial" w:eastAsia="Times New Roman" w:hAnsi="Arial" w:cs="Arial"/>
          <w:color w:val="000000" w:themeColor="text1"/>
        </w:rPr>
        <w:t>-</w:t>
      </w:r>
      <w:r w:rsidR="00677FFE" w:rsidRPr="00B35272">
        <w:rPr>
          <w:rFonts w:ascii="Arial" w:eastAsia="Times New Roman" w:hAnsi="Arial" w:cs="Arial"/>
          <w:color w:val="000000" w:themeColor="text1"/>
        </w:rPr>
        <w:t xml:space="preserve">home </w:t>
      </w:r>
      <w:r w:rsidR="00BD5F3E" w:rsidRPr="00B35272">
        <w:rPr>
          <w:rFonts w:ascii="Arial" w:eastAsia="Times New Roman" w:hAnsi="Arial" w:cs="Arial"/>
          <w:color w:val="000000" w:themeColor="text1"/>
        </w:rPr>
        <w:t xml:space="preserve">order, and any similar local order in the jurisdiction where the visit will occur, are </w:t>
      </w:r>
      <w:r w:rsidRPr="00B35272">
        <w:rPr>
          <w:rFonts w:ascii="Arial" w:eastAsia="Times New Roman" w:hAnsi="Arial" w:cs="Arial"/>
          <w:color w:val="000000" w:themeColor="text1"/>
        </w:rPr>
        <w:t xml:space="preserve">lifted, the QME </w:t>
      </w:r>
      <w:r w:rsidR="00BD5F3E" w:rsidRPr="00B35272">
        <w:rPr>
          <w:rFonts w:ascii="Arial" w:eastAsia="Times New Roman" w:hAnsi="Arial" w:cs="Arial"/>
          <w:color w:val="000000" w:themeColor="text1"/>
        </w:rPr>
        <w:t xml:space="preserve">may </w:t>
      </w:r>
      <w:r w:rsidRPr="00B35272">
        <w:rPr>
          <w:rFonts w:ascii="Arial" w:eastAsia="Times New Roman" w:hAnsi="Arial" w:cs="Arial"/>
          <w:color w:val="000000" w:themeColor="text1"/>
        </w:rPr>
        <w:t>then schedule a face-to-face evaluation taking all necessary precautions.</w:t>
      </w:r>
    </w:p>
    <w:p w14:paraId="5E58AC18" w14:textId="77777777" w:rsidR="007646E1" w:rsidRPr="00B35272" w:rsidRDefault="007646E1" w:rsidP="00C96E1C">
      <w:pPr>
        <w:pStyle w:val="ListParagraph"/>
        <w:rPr>
          <w:rFonts w:ascii="Arial" w:hAnsi="Arial" w:cs="Arial"/>
        </w:rPr>
      </w:pPr>
    </w:p>
    <w:p w14:paraId="0ACF063D" w14:textId="77D84EF7" w:rsidR="00DD7BDA" w:rsidRPr="00B35272" w:rsidRDefault="00DD7BDA" w:rsidP="00DD7BDA">
      <w:pPr>
        <w:pStyle w:val="ListParagraph"/>
        <w:numPr>
          <w:ilvl w:val="0"/>
          <w:numId w:val="5"/>
        </w:numPr>
        <w:rPr>
          <w:rFonts w:ascii="Arial" w:hAnsi="Arial" w:cs="Arial"/>
        </w:rPr>
      </w:pPr>
      <w:r w:rsidRPr="00B35272">
        <w:rPr>
          <w:rFonts w:ascii="Arial" w:hAnsi="Arial" w:cs="Arial"/>
        </w:rPr>
        <w:t xml:space="preserve">The QME or AME shall schedule the electronic interview appointment by sending notice of the appointment with the information necessary for the injured worker to make the telephone call or initiate the videoconferencing for the appointment. The notice shall contain all the information ordinarily provided by the form 110 in addition to the information to complete the telephone or videoconference connection. The notice of electronic interview shall be transmitted in the manner required by 8 CCR section 34(a). Upon service of the notice of electronic interview, the parties to the action shall provide the QME or AME with the records for review at least 10 days prior to the scheduled appointment and in accordance with the provisions of Labor Code section 4062.3. </w:t>
      </w:r>
    </w:p>
    <w:p w14:paraId="432F0CC1" w14:textId="77777777" w:rsidR="00C604E2" w:rsidRDefault="00C604E2" w:rsidP="00C604E2">
      <w:pPr>
        <w:pStyle w:val="ListParagraph"/>
        <w:tabs>
          <w:tab w:val="left" w:pos="5850"/>
        </w:tabs>
        <w:spacing w:after="288" w:line="270" w:lineRule="atLeast"/>
        <w:ind w:left="2880"/>
        <w:rPr>
          <w:rFonts w:ascii="Arial" w:eastAsia="Times New Roman" w:hAnsi="Arial" w:cs="Arial"/>
          <w:color w:val="000000" w:themeColor="text1"/>
        </w:rPr>
      </w:pPr>
    </w:p>
    <w:p w14:paraId="7F092399" w14:textId="77777777" w:rsidR="00C604E2" w:rsidRDefault="00C604E2" w:rsidP="00FD6ECD">
      <w:pPr>
        <w:pStyle w:val="ListParagraph"/>
        <w:numPr>
          <w:ilvl w:val="0"/>
          <w:numId w:val="5"/>
        </w:numPr>
        <w:tabs>
          <w:tab w:val="left" w:pos="5850"/>
        </w:tabs>
        <w:spacing w:after="288" w:line="270" w:lineRule="atLeast"/>
        <w:rPr>
          <w:rFonts w:ascii="Arial" w:eastAsia="Times New Roman" w:hAnsi="Arial" w:cs="Arial"/>
          <w:color w:val="000000" w:themeColor="text1"/>
        </w:rPr>
      </w:pPr>
      <w:r>
        <w:rPr>
          <w:rFonts w:ascii="Arial" w:eastAsia="Times New Roman" w:hAnsi="Arial" w:cs="Arial"/>
          <w:color w:val="000000" w:themeColor="text1"/>
        </w:rPr>
        <w:t xml:space="preserve">Fees payable for the </w:t>
      </w:r>
      <w:r w:rsidRPr="00DF1ABF">
        <w:rPr>
          <w:rFonts w:ascii="Arial" w:eastAsia="Times New Roman" w:hAnsi="Arial" w:cs="Arial"/>
          <w:color w:val="000000" w:themeColor="text1"/>
        </w:rPr>
        <w:t xml:space="preserve">record review </w:t>
      </w:r>
      <w:r>
        <w:rPr>
          <w:rFonts w:ascii="Arial" w:eastAsia="Times New Roman" w:hAnsi="Arial" w:cs="Arial"/>
          <w:color w:val="000000" w:themeColor="text1"/>
        </w:rPr>
        <w:t xml:space="preserve">and injured worker interview summary report shall be charged at a flat rate of $650.00 plus record review as follows: The fee includes review of 200 </w:t>
      </w:r>
      <w:r w:rsidRPr="00DF1ABF">
        <w:rPr>
          <w:rFonts w:ascii="Arial" w:eastAsia="Times New Roman" w:hAnsi="Arial" w:cs="Arial"/>
          <w:color w:val="000000" w:themeColor="text1"/>
        </w:rPr>
        <w:t>pages of records</w:t>
      </w:r>
      <w:r w:rsidRPr="00FF3FBC">
        <w:rPr>
          <w:rFonts w:ascii="Arial" w:eastAsia="Times New Roman" w:hAnsi="Arial" w:cs="Arial"/>
          <w:color w:val="000000" w:themeColor="text1"/>
        </w:rPr>
        <w:t xml:space="preserve"> </w:t>
      </w:r>
      <w:r w:rsidRPr="00DF1ABF">
        <w:rPr>
          <w:rFonts w:ascii="Arial" w:eastAsia="Times New Roman" w:hAnsi="Arial" w:cs="Arial"/>
          <w:color w:val="000000" w:themeColor="text1"/>
        </w:rPr>
        <w:t>that were not reviewed as part of a prior comprehensive medical-legal evaluation, a prior follow-up medical-legal evaluation</w:t>
      </w:r>
      <w:r>
        <w:rPr>
          <w:rFonts w:ascii="Arial" w:eastAsia="Times New Roman" w:hAnsi="Arial" w:cs="Arial"/>
          <w:color w:val="000000" w:themeColor="text1"/>
        </w:rPr>
        <w:t>,</w:t>
      </w:r>
      <w:r w:rsidRPr="00DF1ABF">
        <w:rPr>
          <w:rFonts w:ascii="Arial" w:eastAsia="Times New Roman" w:hAnsi="Arial" w:cs="Arial"/>
          <w:color w:val="000000" w:themeColor="text1"/>
        </w:rPr>
        <w:t xml:space="preserve"> or a prior </w:t>
      </w:r>
      <w:r w:rsidRPr="00DF1ABF">
        <w:rPr>
          <w:rFonts w:ascii="Arial" w:eastAsia="Times New Roman" w:hAnsi="Arial" w:cs="Arial"/>
          <w:color w:val="000000" w:themeColor="text1"/>
        </w:rPr>
        <w:lastRenderedPageBreak/>
        <w:t>supplemental medical-legal evaluation</w:t>
      </w:r>
      <w:r>
        <w:rPr>
          <w:rFonts w:ascii="Arial" w:eastAsia="Times New Roman" w:hAnsi="Arial" w:cs="Arial"/>
          <w:color w:val="000000" w:themeColor="text1"/>
        </w:rPr>
        <w:t xml:space="preserve">. </w:t>
      </w:r>
      <w:r w:rsidRPr="00DF1ABF">
        <w:rPr>
          <w:rFonts w:ascii="Arial" w:eastAsia="Times New Roman" w:hAnsi="Arial" w:cs="Arial"/>
          <w:color w:val="000000" w:themeColor="text1"/>
        </w:rPr>
        <w:t>Review of records of</w:t>
      </w:r>
      <w:r>
        <w:rPr>
          <w:rFonts w:ascii="Arial" w:eastAsia="Times New Roman" w:hAnsi="Arial" w:cs="Arial"/>
          <w:color w:val="000000" w:themeColor="text1"/>
        </w:rPr>
        <w:t xml:space="preserve"> 201</w:t>
      </w:r>
      <w:r w:rsidRPr="00DF1ABF">
        <w:rPr>
          <w:rFonts w:ascii="Arial" w:eastAsia="Times New Roman" w:hAnsi="Arial" w:cs="Arial"/>
          <w:color w:val="000000" w:themeColor="text1"/>
        </w:rPr>
        <w:t xml:space="preserve"> pages </w:t>
      </w:r>
      <w:r>
        <w:rPr>
          <w:rFonts w:ascii="Arial" w:eastAsia="Times New Roman" w:hAnsi="Arial" w:cs="Arial"/>
          <w:color w:val="000000" w:themeColor="text1"/>
        </w:rPr>
        <w:t xml:space="preserve">to 1700 pages </w:t>
      </w:r>
      <w:r w:rsidRPr="00DF1ABF">
        <w:rPr>
          <w:rFonts w:ascii="Arial" w:eastAsia="Times New Roman" w:hAnsi="Arial" w:cs="Arial"/>
          <w:color w:val="000000" w:themeColor="text1"/>
        </w:rPr>
        <w:t>that were not reviewed as part of a prior comprehensive medical-legal evaluation, a prior follow-up medical-legal evaluation</w:t>
      </w:r>
      <w:r>
        <w:rPr>
          <w:rFonts w:ascii="Arial" w:eastAsia="Times New Roman" w:hAnsi="Arial" w:cs="Arial"/>
          <w:color w:val="000000" w:themeColor="text1"/>
        </w:rPr>
        <w:t>,</w:t>
      </w:r>
      <w:r w:rsidRPr="00DF1ABF">
        <w:rPr>
          <w:rFonts w:ascii="Arial" w:eastAsia="Times New Roman" w:hAnsi="Arial" w:cs="Arial"/>
          <w:color w:val="000000" w:themeColor="text1"/>
        </w:rPr>
        <w:t xml:space="preserve"> or a prior supplemental medical-legal evaluation</w:t>
      </w:r>
      <w:r>
        <w:rPr>
          <w:rFonts w:ascii="Arial" w:eastAsia="Times New Roman" w:hAnsi="Arial" w:cs="Arial"/>
          <w:color w:val="000000" w:themeColor="text1"/>
        </w:rPr>
        <w:t>,</w:t>
      </w:r>
      <w:r w:rsidRPr="00DF1ABF">
        <w:rPr>
          <w:rFonts w:ascii="Arial" w:eastAsia="Times New Roman" w:hAnsi="Arial" w:cs="Arial"/>
          <w:color w:val="000000" w:themeColor="text1"/>
        </w:rPr>
        <w:t xml:space="preserve"> shall be reimbursed at the rate of $3.00 per page.</w:t>
      </w:r>
      <w:r w:rsidRPr="00DF1ABF">
        <w:rPr>
          <w:rFonts w:ascii="Arial" w:hAnsi="Arial" w:cs="Arial"/>
          <w:color w:val="000000" w:themeColor="text1"/>
        </w:rPr>
        <w:t xml:space="preserve"> </w:t>
      </w:r>
      <w:r w:rsidRPr="00DF1ABF">
        <w:rPr>
          <w:rFonts w:ascii="Arial" w:eastAsia="Times New Roman" w:hAnsi="Arial" w:cs="Arial"/>
          <w:color w:val="000000" w:themeColor="text1"/>
        </w:rPr>
        <w:t>Review of records that were not reviewed as part of a prior comprehensive medical-legal evaluation, a prior follow-up medical-legal evaluation</w:t>
      </w:r>
      <w:r>
        <w:rPr>
          <w:rFonts w:ascii="Arial" w:eastAsia="Times New Roman" w:hAnsi="Arial" w:cs="Arial"/>
          <w:color w:val="000000" w:themeColor="text1"/>
        </w:rPr>
        <w:t>,</w:t>
      </w:r>
      <w:r w:rsidRPr="00DF1ABF">
        <w:rPr>
          <w:rFonts w:ascii="Arial" w:eastAsia="Times New Roman" w:hAnsi="Arial" w:cs="Arial"/>
          <w:color w:val="000000" w:themeColor="text1"/>
        </w:rPr>
        <w:t xml:space="preserve"> or a prior supplemental medical-le</w:t>
      </w:r>
      <w:r>
        <w:rPr>
          <w:rFonts w:ascii="Arial" w:eastAsia="Times New Roman" w:hAnsi="Arial" w:cs="Arial"/>
          <w:color w:val="000000" w:themeColor="text1"/>
        </w:rPr>
        <w:t xml:space="preserve">gal evaluation, in excess of 1700 </w:t>
      </w:r>
      <w:r w:rsidRPr="00DF1ABF">
        <w:rPr>
          <w:rFonts w:ascii="Arial" w:eastAsia="Times New Roman" w:hAnsi="Arial" w:cs="Arial"/>
          <w:color w:val="000000" w:themeColor="text1"/>
        </w:rPr>
        <w:t>pages shall be reimbursed at the rate of $2.00 per page.</w:t>
      </w:r>
    </w:p>
    <w:p w14:paraId="1CA79C78" w14:textId="77777777" w:rsidR="007646E1" w:rsidRDefault="007646E1" w:rsidP="00C96E1C">
      <w:pPr>
        <w:pStyle w:val="ListParagraph"/>
        <w:spacing w:after="288" w:line="270" w:lineRule="atLeast"/>
        <w:ind w:left="2880"/>
        <w:rPr>
          <w:rFonts w:ascii="Arial" w:eastAsia="Times New Roman" w:hAnsi="Arial" w:cs="Arial"/>
          <w:color w:val="000000" w:themeColor="text1"/>
        </w:rPr>
      </w:pPr>
    </w:p>
    <w:p w14:paraId="652A730B" w14:textId="77777777" w:rsidR="007646E1" w:rsidRDefault="007646E1" w:rsidP="00C96E1C">
      <w:pPr>
        <w:pStyle w:val="ListParagraph"/>
        <w:numPr>
          <w:ilvl w:val="0"/>
          <w:numId w:val="5"/>
        </w:numPr>
        <w:spacing w:after="288" w:line="270" w:lineRule="atLeast"/>
        <w:rPr>
          <w:rFonts w:ascii="Arial" w:eastAsia="Times New Roman" w:hAnsi="Arial" w:cs="Arial"/>
          <w:color w:val="000000" w:themeColor="text1"/>
        </w:rPr>
      </w:pPr>
      <w:r>
        <w:rPr>
          <w:rFonts w:ascii="Arial" w:eastAsia="Times New Roman" w:hAnsi="Arial" w:cs="Arial"/>
          <w:color w:val="000000" w:themeColor="text1"/>
        </w:rPr>
        <w:t xml:space="preserve">Fees payable for a face-to-face evaluation after the </w:t>
      </w:r>
      <w:r w:rsidR="00C54AC2">
        <w:rPr>
          <w:rFonts w:ascii="Arial" w:eastAsia="Times New Roman" w:hAnsi="Arial" w:cs="Arial"/>
          <w:color w:val="000000" w:themeColor="text1"/>
        </w:rPr>
        <w:t xml:space="preserve">interview </w:t>
      </w:r>
      <w:r>
        <w:rPr>
          <w:rFonts w:ascii="Arial" w:eastAsia="Times New Roman" w:hAnsi="Arial" w:cs="Arial"/>
          <w:color w:val="000000" w:themeColor="text1"/>
        </w:rPr>
        <w:t>and record review report</w:t>
      </w:r>
      <w:r w:rsidR="00C54AC2">
        <w:rPr>
          <w:rFonts w:ascii="Arial" w:eastAsia="Times New Roman" w:hAnsi="Arial" w:cs="Arial"/>
          <w:color w:val="000000" w:themeColor="text1"/>
        </w:rPr>
        <w:t>, provided that the record report has been served,</w:t>
      </w:r>
      <w:r>
        <w:rPr>
          <w:rFonts w:ascii="Arial" w:eastAsia="Times New Roman" w:hAnsi="Arial" w:cs="Arial"/>
          <w:color w:val="000000" w:themeColor="text1"/>
        </w:rPr>
        <w:t xml:space="preserve"> are payable at a flat rate of $1316.25 and include all records previously reviewed. If additional records are provided that were not previously provided either as part of the record review report and interview</w:t>
      </w:r>
      <w:r w:rsidR="00C54AC2">
        <w:rPr>
          <w:rFonts w:ascii="Arial" w:eastAsia="Times New Roman" w:hAnsi="Arial" w:cs="Arial"/>
          <w:color w:val="000000" w:themeColor="text1"/>
        </w:rPr>
        <w:t>,</w:t>
      </w:r>
      <w:r>
        <w:rPr>
          <w:rFonts w:ascii="Arial" w:eastAsia="Times New Roman" w:hAnsi="Arial" w:cs="Arial"/>
          <w:color w:val="000000" w:themeColor="text1"/>
        </w:rPr>
        <w:t xml:space="preserve"> or at a </w:t>
      </w:r>
      <w:r w:rsidRPr="00DF1ABF">
        <w:rPr>
          <w:rFonts w:ascii="Arial" w:eastAsia="Times New Roman" w:hAnsi="Arial" w:cs="Arial"/>
          <w:color w:val="000000" w:themeColor="text1"/>
        </w:rPr>
        <w:t>prior follow-up medical-legal evaluation</w:t>
      </w:r>
      <w:r w:rsidR="00C54AC2">
        <w:rPr>
          <w:rFonts w:ascii="Arial" w:eastAsia="Times New Roman" w:hAnsi="Arial" w:cs="Arial"/>
          <w:color w:val="000000" w:themeColor="text1"/>
        </w:rPr>
        <w:t>,</w:t>
      </w:r>
      <w:r w:rsidRPr="00DF1ABF">
        <w:rPr>
          <w:rFonts w:ascii="Arial" w:eastAsia="Times New Roman" w:hAnsi="Arial" w:cs="Arial"/>
          <w:color w:val="000000" w:themeColor="text1"/>
        </w:rPr>
        <w:t xml:space="preserve"> or a prior supplemental medical-legal evaluation</w:t>
      </w:r>
      <w:r w:rsidR="00C54AC2">
        <w:rPr>
          <w:rFonts w:ascii="Arial" w:eastAsia="Times New Roman" w:hAnsi="Arial" w:cs="Arial"/>
          <w:color w:val="000000" w:themeColor="text1"/>
        </w:rPr>
        <w:t>,</w:t>
      </w:r>
      <w:r w:rsidRPr="00DF1ABF">
        <w:rPr>
          <w:rFonts w:ascii="Arial" w:eastAsia="Times New Roman" w:hAnsi="Arial" w:cs="Arial"/>
          <w:color w:val="000000" w:themeColor="text1"/>
        </w:rPr>
        <w:t xml:space="preserve"> </w:t>
      </w:r>
      <w:r w:rsidR="005214B2">
        <w:rPr>
          <w:rFonts w:ascii="Arial" w:eastAsia="Times New Roman" w:hAnsi="Arial" w:cs="Arial"/>
          <w:color w:val="000000" w:themeColor="text1"/>
        </w:rPr>
        <w:t xml:space="preserve">review of those records </w:t>
      </w:r>
      <w:r w:rsidRPr="00DF1ABF">
        <w:rPr>
          <w:rFonts w:ascii="Arial" w:eastAsia="Times New Roman" w:hAnsi="Arial" w:cs="Arial"/>
          <w:color w:val="000000" w:themeColor="text1"/>
        </w:rPr>
        <w:t>shall be reimbursed at the rate of $</w:t>
      </w:r>
      <w:r>
        <w:rPr>
          <w:rFonts w:ascii="Arial" w:eastAsia="Times New Roman" w:hAnsi="Arial" w:cs="Arial"/>
          <w:color w:val="000000" w:themeColor="text1"/>
        </w:rPr>
        <w:t>2</w:t>
      </w:r>
      <w:r w:rsidRPr="00DF1ABF">
        <w:rPr>
          <w:rFonts w:ascii="Arial" w:eastAsia="Times New Roman" w:hAnsi="Arial" w:cs="Arial"/>
          <w:color w:val="000000" w:themeColor="text1"/>
        </w:rPr>
        <w:t>.00 per</w:t>
      </w:r>
      <w:r>
        <w:rPr>
          <w:rFonts w:ascii="Arial" w:eastAsia="Times New Roman" w:hAnsi="Arial" w:cs="Arial"/>
          <w:color w:val="000000" w:themeColor="text1"/>
        </w:rPr>
        <w:t xml:space="preserve"> page.</w:t>
      </w:r>
    </w:p>
    <w:p w14:paraId="288C69D4" w14:textId="77777777" w:rsidR="007646E1" w:rsidRDefault="007646E1" w:rsidP="00C96E1C">
      <w:pPr>
        <w:pStyle w:val="ListParagraph"/>
        <w:spacing w:after="288" w:line="270" w:lineRule="atLeast"/>
        <w:ind w:left="2160"/>
        <w:rPr>
          <w:rFonts w:ascii="Arial" w:eastAsia="Times New Roman" w:hAnsi="Arial" w:cs="Arial"/>
          <w:color w:val="000000" w:themeColor="text1"/>
        </w:rPr>
      </w:pPr>
    </w:p>
    <w:p w14:paraId="2DC4B505" w14:textId="77777777" w:rsidR="007646E1" w:rsidRDefault="007646E1" w:rsidP="00C96E1C">
      <w:pPr>
        <w:pStyle w:val="ListParagraph"/>
        <w:numPr>
          <w:ilvl w:val="0"/>
          <w:numId w:val="4"/>
        </w:numPr>
        <w:tabs>
          <w:tab w:val="left" w:pos="2160"/>
        </w:tabs>
        <w:spacing w:after="288" w:line="270" w:lineRule="atLeast"/>
        <w:rPr>
          <w:rFonts w:ascii="Arial" w:eastAsia="Times New Roman" w:hAnsi="Arial" w:cs="Arial"/>
          <w:color w:val="000000" w:themeColor="text1"/>
        </w:rPr>
      </w:pPr>
      <w:r>
        <w:rPr>
          <w:rFonts w:ascii="Arial" w:eastAsia="Times New Roman" w:hAnsi="Arial" w:cs="Arial"/>
          <w:color w:val="000000" w:themeColor="text1"/>
        </w:rPr>
        <w:t xml:space="preserve">A QME or AME may complete a medical-legal evaluation through </w:t>
      </w:r>
      <w:r w:rsidRPr="000B1FDE">
        <w:rPr>
          <w:rFonts w:ascii="Arial" w:hAnsi="Arial" w:cs="Arial"/>
        </w:rPr>
        <w:t xml:space="preserve">telehealth when a physical examination is not necessary and </w:t>
      </w:r>
      <w:r w:rsidRPr="000B1FDE">
        <w:rPr>
          <w:rFonts w:ascii="Arial" w:hAnsi="Arial" w:cs="Arial"/>
          <w:u w:val="single"/>
        </w:rPr>
        <w:t>all</w:t>
      </w:r>
      <w:r w:rsidRPr="000B1FDE">
        <w:rPr>
          <w:rFonts w:ascii="Arial" w:hAnsi="Arial" w:cs="Arial"/>
        </w:rPr>
        <w:t xml:space="preserve"> of the following conditions are</w:t>
      </w:r>
      <w:r w:rsidR="00B258D2">
        <w:rPr>
          <w:rFonts w:ascii="Arial" w:hAnsi="Arial" w:cs="Arial"/>
        </w:rPr>
        <w:t xml:space="preserve"> met:</w:t>
      </w:r>
    </w:p>
    <w:p w14:paraId="18831ECF" w14:textId="77777777" w:rsidR="00B258D2" w:rsidRDefault="00B258D2" w:rsidP="00C96E1C">
      <w:pPr>
        <w:pStyle w:val="ListParagraph"/>
        <w:tabs>
          <w:tab w:val="left" w:pos="2160"/>
        </w:tabs>
        <w:spacing w:after="288" w:line="270" w:lineRule="atLeast"/>
        <w:ind w:left="2160"/>
        <w:rPr>
          <w:rFonts w:ascii="Arial" w:eastAsia="Times New Roman" w:hAnsi="Arial" w:cs="Arial"/>
          <w:color w:val="000000" w:themeColor="text1"/>
        </w:rPr>
      </w:pPr>
    </w:p>
    <w:p w14:paraId="79419E4C" w14:textId="77777777" w:rsidR="00B258D2" w:rsidRPr="00C96E1C" w:rsidRDefault="00B258D2" w:rsidP="00C96E1C">
      <w:pPr>
        <w:pStyle w:val="ListParagraph"/>
        <w:numPr>
          <w:ilvl w:val="0"/>
          <w:numId w:val="6"/>
        </w:numPr>
        <w:tabs>
          <w:tab w:val="left" w:pos="2160"/>
        </w:tabs>
        <w:spacing w:after="288" w:line="270" w:lineRule="atLeast"/>
        <w:ind w:left="2880" w:hanging="720"/>
        <w:rPr>
          <w:rFonts w:ascii="Arial" w:eastAsia="Times New Roman" w:hAnsi="Arial" w:cs="Arial"/>
          <w:color w:val="000000" w:themeColor="text1"/>
        </w:rPr>
      </w:pPr>
      <w:r>
        <w:rPr>
          <w:rFonts w:ascii="Arial" w:hAnsi="Arial" w:cs="Arial"/>
        </w:rPr>
        <w:t xml:space="preserve">The </w:t>
      </w:r>
      <w:r w:rsidRPr="000B1FDE">
        <w:rPr>
          <w:rFonts w:ascii="Arial" w:hAnsi="Arial" w:cs="Arial"/>
        </w:rPr>
        <w:t>injured worker is not required to travel outside of their immediate household to accomplish the telehealth evaluation; a</w:t>
      </w:r>
      <w:r>
        <w:rPr>
          <w:rFonts w:ascii="Arial" w:hAnsi="Arial" w:cs="Arial"/>
        </w:rPr>
        <w:t>nd</w:t>
      </w:r>
    </w:p>
    <w:p w14:paraId="6562C52A" w14:textId="77777777" w:rsidR="00B258D2" w:rsidRPr="00C96E1C" w:rsidRDefault="00B258D2" w:rsidP="00C96E1C">
      <w:pPr>
        <w:pStyle w:val="ListParagraph"/>
        <w:tabs>
          <w:tab w:val="left" w:pos="2160"/>
        </w:tabs>
        <w:spacing w:after="288" w:line="270" w:lineRule="atLeast"/>
        <w:ind w:left="2880"/>
        <w:rPr>
          <w:rFonts w:ascii="Arial" w:eastAsia="Times New Roman" w:hAnsi="Arial" w:cs="Arial"/>
          <w:color w:val="000000" w:themeColor="text1"/>
        </w:rPr>
      </w:pPr>
    </w:p>
    <w:p w14:paraId="1932CA55" w14:textId="77777777" w:rsidR="00B258D2" w:rsidRPr="00C96E1C" w:rsidRDefault="00B258D2" w:rsidP="00C96E1C">
      <w:pPr>
        <w:pStyle w:val="ListParagraph"/>
        <w:numPr>
          <w:ilvl w:val="0"/>
          <w:numId w:val="6"/>
        </w:numPr>
        <w:tabs>
          <w:tab w:val="left" w:pos="2160"/>
        </w:tabs>
        <w:spacing w:after="288" w:line="270" w:lineRule="atLeast"/>
        <w:ind w:left="2880" w:hanging="720"/>
        <w:rPr>
          <w:rFonts w:ascii="Arial" w:eastAsia="Times New Roman" w:hAnsi="Arial" w:cs="Arial"/>
          <w:color w:val="000000" w:themeColor="text1"/>
        </w:rPr>
      </w:pPr>
      <w:r>
        <w:rPr>
          <w:rFonts w:ascii="Arial" w:eastAsia="Times New Roman" w:hAnsi="Arial" w:cs="Arial"/>
          <w:color w:val="000000" w:themeColor="text1"/>
        </w:rPr>
        <w:t xml:space="preserve">There is a </w:t>
      </w:r>
      <w:r w:rsidRPr="00D078D1">
        <w:rPr>
          <w:rFonts w:ascii="Arial" w:hAnsi="Arial" w:cs="Arial"/>
        </w:rPr>
        <w:t>medical issue in dispute which involves whether or not the injury is AOE/COE</w:t>
      </w:r>
      <w:r w:rsidRPr="00D078D1">
        <w:rPr>
          <w:rFonts w:ascii="Arial" w:hAnsi="Arial" w:cs="Arial"/>
          <w:color w:val="222222"/>
        </w:rPr>
        <w:t xml:space="preserve"> (Arising Out of Emp</w:t>
      </w:r>
      <w:r>
        <w:rPr>
          <w:rFonts w:ascii="Arial" w:hAnsi="Arial" w:cs="Arial"/>
          <w:color w:val="222222"/>
        </w:rPr>
        <w:t>loyment / Course of Employment)</w:t>
      </w:r>
      <w:r w:rsidR="00277131">
        <w:rPr>
          <w:rFonts w:ascii="Arial" w:hAnsi="Arial" w:cs="Arial"/>
          <w:color w:val="222222"/>
        </w:rPr>
        <w:t>,</w:t>
      </w:r>
      <w:r>
        <w:rPr>
          <w:rFonts w:ascii="Arial" w:hAnsi="Arial" w:cs="Arial"/>
          <w:color w:val="222222"/>
        </w:rPr>
        <w:t xml:space="preserve"> or the physician is asked to </w:t>
      </w:r>
      <w:r>
        <w:rPr>
          <w:rFonts w:ascii="Arial" w:hAnsi="Arial" w:cs="Arial"/>
        </w:rPr>
        <w:t>address the termination of an injured worker’s indemnity benefit payments or address a dispute regarding work restrictions</w:t>
      </w:r>
      <w:r>
        <w:rPr>
          <w:rFonts w:ascii="Arial" w:hAnsi="Arial" w:cs="Arial"/>
          <w:color w:val="222222"/>
        </w:rPr>
        <w:t>; and</w:t>
      </w:r>
    </w:p>
    <w:p w14:paraId="2F85E8D6" w14:textId="77777777" w:rsidR="00B258D2" w:rsidRPr="00C96E1C" w:rsidRDefault="00B258D2" w:rsidP="00C96E1C">
      <w:pPr>
        <w:pStyle w:val="ListParagraph"/>
        <w:rPr>
          <w:rFonts w:ascii="Arial" w:eastAsia="Times New Roman" w:hAnsi="Arial" w:cs="Arial"/>
          <w:color w:val="000000" w:themeColor="text1"/>
        </w:rPr>
      </w:pPr>
    </w:p>
    <w:p w14:paraId="3F422DBD" w14:textId="32DEF4AB" w:rsidR="00C54AC2" w:rsidRPr="00120532" w:rsidRDefault="00B258D2" w:rsidP="00C96E1C">
      <w:pPr>
        <w:pStyle w:val="ListParagraph"/>
        <w:numPr>
          <w:ilvl w:val="0"/>
          <w:numId w:val="6"/>
        </w:numPr>
        <w:tabs>
          <w:tab w:val="left" w:pos="2160"/>
        </w:tabs>
        <w:spacing w:after="288" w:line="270" w:lineRule="atLeast"/>
        <w:ind w:left="2880" w:hanging="720"/>
        <w:rPr>
          <w:rFonts w:ascii="Arial" w:eastAsia="Times New Roman" w:hAnsi="Arial" w:cs="Arial"/>
          <w:color w:val="000000" w:themeColor="text1"/>
        </w:rPr>
      </w:pPr>
      <w:r>
        <w:rPr>
          <w:rFonts w:ascii="Arial" w:hAnsi="Arial" w:cs="Arial"/>
        </w:rPr>
        <w:t>T</w:t>
      </w:r>
      <w:r w:rsidRPr="000B1FDE">
        <w:rPr>
          <w:rFonts w:ascii="Arial" w:hAnsi="Arial" w:cs="Arial"/>
        </w:rPr>
        <w:t xml:space="preserve">here is agreement </w:t>
      </w:r>
      <w:r w:rsidR="005214B2">
        <w:rPr>
          <w:rFonts w:ascii="Arial" w:hAnsi="Arial" w:cs="Arial"/>
        </w:rPr>
        <w:t xml:space="preserve">in writing </w:t>
      </w:r>
      <w:r w:rsidR="00C54AC2">
        <w:rPr>
          <w:rFonts w:ascii="Arial" w:hAnsi="Arial" w:cs="Arial"/>
        </w:rPr>
        <w:t xml:space="preserve">to the telehealth evaluation by </w:t>
      </w:r>
      <w:r w:rsidRPr="000B1FDE">
        <w:rPr>
          <w:rFonts w:ascii="Arial" w:hAnsi="Arial" w:cs="Arial"/>
        </w:rPr>
        <w:t xml:space="preserve">the injured worker, </w:t>
      </w:r>
      <w:r w:rsidR="00C54AC2">
        <w:rPr>
          <w:rFonts w:ascii="Arial" w:hAnsi="Arial" w:cs="Arial"/>
        </w:rPr>
        <w:t xml:space="preserve">the </w:t>
      </w:r>
      <w:r w:rsidRPr="000B1FDE">
        <w:rPr>
          <w:rFonts w:ascii="Arial" w:hAnsi="Arial" w:cs="Arial"/>
        </w:rPr>
        <w:t>carrier or employer, and the QME</w:t>
      </w:r>
      <w:r w:rsidR="00AA24C8">
        <w:rPr>
          <w:rFonts w:ascii="Arial" w:hAnsi="Arial" w:cs="Arial"/>
        </w:rPr>
        <w:t xml:space="preserve">. </w:t>
      </w:r>
      <w:r w:rsidR="00AA24C8" w:rsidRPr="00120532">
        <w:rPr>
          <w:rFonts w:ascii="Arial" w:hAnsi="Arial" w:cs="Arial"/>
        </w:rPr>
        <w:t>Agreement to the telehealth evaluation</w:t>
      </w:r>
      <w:r w:rsidR="00F6615B" w:rsidRPr="00120532">
        <w:rPr>
          <w:rFonts w:ascii="Arial" w:hAnsi="Arial" w:cs="Arial"/>
        </w:rPr>
        <w:t xml:space="preserve"> cannot be unreasonably denied</w:t>
      </w:r>
      <w:r w:rsidR="00AA24C8" w:rsidRPr="00120532">
        <w:rPr>
          <w:rFonts w:ascii="Arial" w:hAnsi="Arial" w:cs="Arial"/>
        </w:rPr>
        <w:t xml:space="preserve">. If a party to the action </w:t>
      </w:r>
      <w:r w:rsidR="00120532" w:rsidRPr="00120532">
        <w:rPr>
          <w:rFonts w:ascii="Arial" w:hAnsi="Arial" w:cs="Arial"/>
        </w:rPr>
        <w:t>believes</w:t>
      </w:r>
      <w:r w:rsidR="00AA24C8" w:rsidRPr="00120532">
        <w:rPr>
          <w:rFonts w:ascii="Arial" w:hAnsi="Arial" w:cs="Arial"/>
        </w:rPr>
        <w:t xml:space="preserve"> that agreement to the telehealth evaluation has been unreasonably denied under this section, they </w:t>
      </w:r>
      <w:r w:rsidR="00BB219A">
        <w:rPr>
          <w:rFonts w:ascii="Arial" w:hAnsi="Arial" w:cs="Arial"/>
        </w:rPr>
        <w:t>may</w:t>
      </w:r>
      <w:r w:rsidR="00BB219A" w:rsidRPr="00120532">
        <w:rPr>
          <w:rFonts w:ascii="Arial" w:hAnsi="Arial" w:cs="Arial"/>
        </w:rPr>
        <w:t xml:space="preserve"> </w:t>
      </w:r>
      <w:r w:rsidR="00AA24C8" w:rsidRPr="00120532">
        <w:rPr>
          <w:rFonts w:ascii="Arial" w:hAnsi="Arial" w:cs="Arial"/>
        </w:rPr>
        <w:t>file an objection with the Workers’ Compensation Appeals Board, along with a Declaration of Readiness to Proceed to set the matter for a hearing</w:t>
      </w:r>
      <w:r w:rsidR="00C54AC2" w:rsidRPr="00120532">
        <w:rPr>
          <w:rFonts w:ascii="Arial" w:hAnsi="Arial" w:cs="Arial"/>
        </w:rPr>
        <w:t xml:space="preserve">; </w:t>
      </w:r>
    </w:p>
    <w:p w14:paraId="495335B2" w14:textId="77777777" w:rsidR="00C54AC2" w:rsidRPr="000E0C2F" w:rsidRDefault="00C54AC2" w:rsidP="000E0C2F">
      <w:pPr>
        <w:pStyle w:val="ListParagraph"/>
        <w:tabs>
          <w:tab w:val="left" w:pos="2160"/>
        </w:tabs>
        <w:spacing w:after="288" w:line="270" w:lineRule="atLeast"/>
        <w:ind w:left="2880"/>
        <w:rPr>
          <w:rFonts w:ascii="Arial" w:eastAsia="Times New Roman" w:hAnsi="Arial" w:cs="Arial"/>
          <w:color w:val="000000" w:themeColor="text1"/>
        </w:rPr>
      </w:pPr>
    </w:p>
    <w:p w14:paraId="183FBF90" w14:textId="77777777" w:rsidR="00B258D2" w:rsidRPr="00C96E1C" w:rsidRDefault="00C54AC2" w:rsidP="00C96E1C">
      <w:pPr>
        <w:pStyle w:val="ListParagraph"/>
        <w:numPr>
          <w:ilvl w:val="0"/>
          <w:numId w:val="6"/>
        </w:numPr>
        <w:tabs>
          <w:tab w:val="left" w:pos="2160"/>
        </w:tabs>
        <w:spacing w:after="288" w:line="270" w:lineRule="atLeast"/>
        <w:ind w:left="2880" w:hanging="720"/>
        <w:rPr>
          <w:rFonts w:ascii="Arial" w:eastAsia="Times New Roman" w:hAnsi="Arial" w:cs="Arial"/>
          <w:color w:val="000000" w:themeColor="text1"/>
        </w:rPr>
      </w:pPr>
      <w:r>
        <w:rPr>
          <w:rFonts w:ascii="Arial" w:hAnsi="Arial" w:cs="Arial"/>
        </w:rPr>
        <w:lastRenderedPageBreak/>
        <w:t xml:space="preserve">The telehealth visit under the circumstances </w:t>
      </w:r>
      <w:r w:rsidR="00B258D2" w:rsidRPr="000B1FDE">
        <w:rPr>
          <w:rFonts w:ascii="Arial" w:hAnsi="Arial" w:cs="Arial"/>
        </w:rPr>
        <w:t>is consistent with appropriate and ethical medical practic</w:t>
      </w:r>
      <w:r w:rsidR="00B258D2">
        <w:rPr>
          <w:rFonts w:ascii="Arial" w:hAnsi="Arial" w:cs="Arial"/>
        </w:rPr>
        <w:t>e</w:t>
      </w:r>
      <w:r>
        <w:rPr>
          <w:rFonts w:ascii="Arial" w:hAnsi="Arial" w:cs="Arial"/>
        </w:rPr>
        <w:t>, as determined by the QME</w:t>
      </w:r>
      <w:r w:rsidR="00B258D2">
        <w:rPr>
          <w:rFonts w:ascii="Arial" w:hAnsi="Arial" w:cs="Arial"/>
        </w:rPr>
        <w:t>; and</w:t>
      </w:r>
    </w:p>
    <w:p w14:paraId="60A4BF3E" w14:textId="77777777" w:rsidR="00B258D2" w:rsidRPr="00C96E1C" w:rsidRDefault="00B258D2" w:rsidP="00C96E1C">
      <w:pPr>
        <w:pStyle w:val="ListParagraph"/>
        <w:rPr>
          <w:rFonts w:ascii="Arial" w:eastAsia="Times New Roman" w:hAnsi="Arial" w:cs="Arial"/>
          <w:color w:val="000000" w:themeColor="text1"/>
        </w:rPr>
      </w:pPr>
    </w:p>
    <w:p w14:paraId="2B4995C0" w14:textId="77777777" w:rsidR="00B258D2" w:rsidRPr="00C96E1C" w:rsidRDefault="00B258D2" w:rsidP="00C96E1C">
      <w:pPr>
        <w:pStyle w:val="ListParagraph"/>
        <w:numPr>
          <w:ilvl w:val="0"/>
          <w:numId w:val="6"/>
        </w:numPr>
        <w:tabs>
          <w:tab w:val="left" w:pos="2160"/>
        </w:tabs>
        <w:spacing w:after="288" w:line="270" w:lineRule="atLeast"/>
        <w:ind w:left="2880" w:hanging="720"/>
        <w:rPr>
          <w:rFonts w:ascii="Arial" w:eastAsia="Times New Roman" w:hAnsi="Arial" w:cs="Arial"/>
          <w:color w:val="000000" w:themeColor="text1"/>
        </w:rPr>
      </w:pPr>
      <w:r w:rsidRPr="000B1FDE">
        <w:rPr>
          <w:rFonts w:ascii="Arial" w:hAnsi="Arial" w:cs="Arial"/>
        </w:rPr>
        <w:t>The QME attest</w:t>
      </w:r>
      <w:r w:rsidR="00C54AC2">
        <w:rPr>
          <w:rFonts w:ascii="Arial" w:hAnsi="Arial" w:cs="Arial"/>
        </w:rPr>
        <w:t>s</w:t>
      </w:r>
      <w:r w:rsidRPr="000B1FDE">
        <w:rPr>
          <w:rFonts w:ascii="Arial" w:hAnsi="Arial" w:cs="Arial"/>
        </w:rPr>
        <w:t xml:space="preserve"> that the evaluation does not require a physical exam</w:t>
      </w:r>
      <w:r w:rsidR="00C54AC2">
        <w:rPr>
          <w:rFonts w:ascii="Arial" w:hAnsi="Arial" w:cs="Arial"/>
        </w:rPr>
        <w:t>.</w:t>
      </w:r>
    </w:p>
    <w:p w14:paraId="0740AF5A" w14:textId="77777777" w:rsidR="0090236F" w:rsidRPr="00C96E1C" w:rsidRDefault="0090236F" w:rsidP="00C96E1C">
      <w:pPr>
        <w:pStyle w:val="ListParagraph"/>
        <w:rPr>
          <w:rFonts w:ascii="Arial" w:eastAsia="Times New Roman" w:hAnsi="Arial" w:cs="Arial"/>
          <w:color w:val="000000" w:themeColor="text1"/>
        </w:rPr>
      </w:pPr>
    </w:p>
    <w:p w14:paraId="5793C378" w14:textId="77777777" w:rsidR="0090236F" w:rsidRDefault="0090236F" w:rsidP="000E0C2F">
      <w:pPr>
        <w:pStyle w:val="ListParagraph"/>
        <w:numPr>
          <w:ilvl w:val="0"/>
          <w:numId w:val="4"/>
        </w:numPr>
        <w:tabs>
          <w:tab w:val="left" w:pos="2160"/>
        </w:tabs>
        <w:spacing w:after="288" w:line="270" w:lineRule="atLeast"/>
        <w:rPr>
          <w:rFonts w:ascii="Arial" w:eastAsia="Times New Roman" w:hAnsi="Arial" w:cs="Arial"/>
          <w:color w:val="000000" w:themeColor="text1"/>
        </w:rPr>
      </w:pPr>
      <w:r w:rsidRPr="000E0C2F">
        <w:rPr>
          <w:rFonts w:ascii="Arial" w:hAnsi="Arial" w:cs="Arial"/>
        </w:rPr>
        <w:t>Fees</w:t>
      </w:r>
      <w:r>
        <w:rPr>
          <w:rFonts w:ascii="Arial" w:eastAsia="Times New Roman" w:hAnsi="Arial" w:cs="Arial"/>
          <w:color w:val="000000" w:themeColor="text1"/>
        </w:rPr>
        <w:t xml:space="preserve"> payable for </w:t>
      </w:r>
      <w:r w:rsidR="00C54AC2">
        <w:rPr>
          <w:rFonts w:ascii="Arial" w:eastAsia="Times New Roman" w:hAnsi="Arial" w:cs="Arial"/>
          <w:color w:val="000000" w:themeColor="text1"/>
        </w:rPr>
        <w:t xml:space="preserve">a </w:t>
      </w:r>
      <w:r>
        <w:rPr>
          <w:rFonts w:ascii="Arial" w:eastAsia="Times New Roman" w:hAnsi="Arial" w:cs="Arial"/>
          <w:color w:val="000000" w:themeColor="text1"/>
        </w:rPr>
        <w:t xml:space="preserve">telehealth evaluation </w:t>
      </w:r>
      <w:r w:rsidR="00C54AC2">
        <w:rPr>
          <w:rFonts w:ascii="Arial" w:eastAsia="Times New Roman" w:hAnsi="Arial" w:cs="Arial"/>
          <w:color w:val="000000" w:themeColor="text1"/>
        </w:rPr>
        <w:t xml:space="preserve">and report pursuant to </w:t>
      </w:r>
      <w:r w:rsidR="00F124DF">
        <w:rPr>
          <w:rFonts w:ascii="Arial" w:eastAsia="Times New Roman" w:hAnsi="Arial" w:cs="Arial"/>
          <w:color w:val="000000" w:themeColor="text1"/>
        </w:rPr>
        <w:t xml:space="preserve">subdivision (3) of </w:t>
      </w:r>
      <w:r w:rsidR="00C54AC2">
        <w:rPr>
          <w:rFonts w:ascii="Arial" w:eastAsia="Times New Roman" w:hAnsi="Arial" w:cs="Arial"/>
          <w:color w:val="000000" w:themeColor="text1"/>
        </w:rPr>
        <w:t xml:space="preserve">this emergency regulation </w:t>
      </w:r>
      <w:r w:rsidR="00F124DF">
        <w:rPr>
          <w:rFonts w:ascii="Arial" w:eastAsia="Times New Roman" w:hAnsi="Arial" w:cs="Arial"/>
          <w:color w:val="000000" w:themeColor="text1"/>
        </w:rPr>
        <w:t>shall</w:t>
      </w:r>
      <w:r w:rsidR="00C54AC2">
        <w:rPr>
          <w:rFonts w:ascii="Arial" w:eastAsia="Times New Roman" w:hAnsi="Arial" w:cs="Arial"/>
          <w:color w:val="000000" w:themeColor="text1"/>
        </w:rPr>
        <w:t xml:space="preserve"> </w:t>
      </w:r>
      <w:r>
        <w:rPr>
          <w:rFonts w:ascii="Arial" w:eastAsia="Times New Roman" w:hAnsi="Arial" w:cs="Arial"/>
          <w:color w:val="000000" w:themeColor="text1"/>
        </w:rPr>
        <w:t xml:space="preserve">be charged at a flat rate of $2015.00 plus record review as follows: The fee includes review of 400 </w:t>
      </w:r>
      <w:r w:rsidRPr="00DF1ABF">
        <w:rPr>
          <w:rFonts w:ascii="Arial" w:eastAsia="Times New Roman" w:hAnsi="Arial" w:cs="Arial"/>
          <w:color w:val="000000" w:themeColor="text1"/>
        </w:rPr>
        <w:t>pages of records</w:t>
      </w:r>
      <w:r w:rsidRPr="00FF3FBC">
        <w:rPr>
          <w:rFonts w:ascii="Arial" w:eastAsia="Times New Roman" w:hAnsi="Arial" w:cs="Arial"/>
          <w:color w:val="000000" w:themeColor="text1"/>
        </w:rPr>
        <w:t xml:space="preserve"> </w:t>
      </w:r>
      <w:r w:rsidRPr="00DF1ABF">
        <w:rPr>
          <w:rFonts w:ascii="Arial" w:eastAsia="Times New Roman" w:hAnsi="Arial" w:cs="Arial"/>
          <w:color w:val="000000" w:themeColor="text1"/>
        </w:rPr>
        <w:t>that were not reviewed as part of a prior comprehensive medical-legal evaluation, a prior follow-up medical-legal evaluation</w:t>
      </w:r>
      <w:r w:rsidR="00C54AC2">
        <w:rPr>
          <w:rFonts w:ascii="Arial" w:eastAsia="Times New Roman" w:hAnsi="Arial" w:cs="Arial"/>
          <w:color w:val="000000" w:themeColor="text1"/>
        </w:rPr>
        <w:t>,</w:t>
      </w:r>
      <w:r w:rsidRPr="00DF1ABF">
        <w:rPr>
          <w:rFonts w:ascii="Arial" w:eastAsia="Times New Roman" w:hAnsi="Arial" w:cs="Arial"/>
          <w:color w:val="000000" w:themeColor="text1"/>
        </w:rPr>
        <w:t xml:space="preserve"> or a prior supplemental medical-legal evaluation</w:t>
      </w:r>
      <w:r>
        <w:rPr>
          <w:rFonts w:ascii="Arial" w:eastAsia="Times New Roman" w:hAnsi="Arial" w:cs="Arial"/>
          <w:color w:val="000000" w:themeColor="text1"/>
        </w:rPr>
        <w:t xml:space="preserve">. </w:t>
      </w:r>
      <w:r w:rsidRPr="00DF1ABF">
        <w:rPr>
          <w:rFonts w:ascii="Arial" w:eastAsia="Times New Roman" w:hAnsi="Arial" w:cs="Arial"/>
          <w:color w:val="000000" w:themeColor="text1"/>
        </w:rPr>
        <w:t>Review of records of</w:t>
      </w:r>
      <w:r>
        <w:rPr>
          <w:rFonts w:ascii="Arial" w:eastAsia="Times New Roman" w:hAnsi="Arial" w:cs="Arial"/>
          <w:color w:val="000000" w:themeColor="text1"/>
        </w:rPr>
        <w:t xml:space="preserve"> 401</w:t>
      </w:r>
      <w:r w:rsidRPr="00DF1ABF">
        <w:rPr>
          <w:rFonts w:ascii="Arial" w:eastAsia="Times New Roman" w:hAnsi="Arial" w:cs="Arial"/>
          <w:color w:val="000000" w:themeColor="text1"/>
        </w:rPr>
        <w:t xml:space="preserve"> pages </w:t>
      </w:r>
      <w:r>
        <w:rPr>
          <w:rFonts w:ascii="Arial" w:eastAsia="Times New Roman" w:hAnsi="Arial" w:cs="Arial"/>
          <w:color w:val="000000" w:themeColor="text1"/>
        </w:rPr>
        <w:t xml:space="preserve">to 1700 pages </w:t>
      </w:r>
      <w:r w:rsidRPr="00DF1ABF">
        <w:rPr>
          <w:rFonts w:ascii="Arial" w:eastAsia="Times New Roman" w:hAnsi="Arial" w:cs="Arial"/>
          <w:color w:val="000000" w:themeColor="text1"/>
        </w:rPr>
        <w:t>that were not reviewed as part of a prior comprehensive medical-legal evaluation, a prior follow-up medical-legal evaluation</w:t>
      </w:r>
      <w:r w:rsidR="00C54AC2">
        <w:rPr>
          <w:rFonts w:ascii="Arial" w:eastAsia="Times New Roman" w:hAnsi="Arial" w:cs="Arial"/>
          <w:color w:val="000000" w:themeColor="text1"/>
        </w:rPr>
        <w:t>,</w:t>
      </w:r>
      <w:r w:rsidRPr="00DF1ABF">
        <w:rPr>
          <w:rFonts w:ascii="Arial" w:eastAsia="Times New Roman" w:hAnsi="Arial" w:cs="Arial"/>
          <w:color w:val="000000" w:themeColor="text1"/>
        </w:rPr>
        <w:t xml:space="preserve"> or a prior supplemental medical-legal evaluation shall be reimbursed at the rate of $3.00 per page.</w:t>
      </w:r>
      <w:r w:rsidRPr="00DF1ABF">
        <w:rPr>
          <w:rFonts w:ascii="Arial" w:hAnsi="Arial" w:cs="Arial"/>
          <w:color w:val="000000" w:themeColor="text1"/>
        </w:rPr>
        <w:t xml:space="preserve"> </w:t>
      </w:r>
      <w:r w:rsidRPr="00DF1ABF">
        <w:rPr>
          <w:rFonts w:ascii="Arial" w:eastAsia="Times New Roman" w:hAnsi="Arial" w:cs="Arial"/>
          <w:color w:val="000000" w:themeColor="text1"/>
        </w:rPr>
        <w:t>Review of records that were not reviewed as part of a prior comprehensive medical-legal evaluation, a prior follow-up medical-legal evaluation</w:t>
      </w:r>
      <w:r w:rsidR="00C54AC2">
        <w:rPr>
          <w:rFonts w:ascii="Arial" w:eastAsia="Times New Roman" w:hAnsi="Arial" w:cs="Arial"/>
          <w:color w:val="000000" w:themeColor="text1"/>
        </w:rPr>
        <w:t>,</w:t>
      </w:r>
      <w:r w:rsidRPr="00DF1ABF">
        <w:rPr>
          <w:rFonts w:ascii="Arial" w:eastAsia="Times New Roman" w:hAnsi="Arial" w:cs="Arial"/>
          <w:color w:val="000000" w:themeColor="text1"/>
        </w:rPr>
        <w:t xml:space="preserve"> or a prior supplemental medical-le</w:t>
      </w:r>
      <w:r>
        <w:rPr>
          <w:rFonts w:ascii="Arial" w:eastAsia="Times New Roman" w:hAnsi="Arial" w:cs="Arial"/>
          <w:color w:val="000000" w:themeColor="text1"/>
        </w:rPr>
        <w:t>gal evaluation in excess of 1700</w:t>
      </w:r>
      <w:r w:rsidRPr="00DF1ABF">
        <w:rPr>
          <w:rFonts w:ascii="Arial" w:eastAsia="Times New Roman" w:hAnsi="Arial" w:cs="Arial"/>
          <w:color w:val="000000" w:themeColor="text1"/>
        </w:rPr>
        <w:t xml:space="preserve"> pages shall be reimbursed at the rate of $2.00 per pa</w:t>
      </w:r>
      <w:r>
        <w:rPr>
          <w:rFonts w:ascii="Arial" w:eastAsia="Times New Roman" w:hAnsi="Arial" w:cs="Arial"/>
          <w:color w:val="000000" w:themeColor="text1"/>
        </w:rPr>
        <w:t>ge.</w:t>
      </w:r>
    </w:p>
    <w:p w14:paraId="5ABEC023" w14:textId="77777777" w:rsidR="0090236F" w:rsidRDefault="0090236F" w:rsidP="0090236F">
      <w:pPr>
        <w:pStyle w:val="ListParagraph"/>
        <w:tabs>
          <w:tab w:val="left" w:pos="2160"/>
        </w:tabs>
        <w:spacing w:after="288" w:line="270" w:lineRule="atLeast"/>
        <w:ind w:left="3600"/>
        <w:rPr>
          <w:rFonts w:ascii="Arial" w:eastAsia="Times New Roman" w:hAnsi="Arial" w:cs="Arial"/>
          <w:color w:val="000000" w:themeColor="text1"/>
        </w:rPr>
      </w:pPr>
    </w:p>
    <w:p w14:paraId="62DDEDFB" w14:textId="77777777" w:rsidR="0090236F" w:rsidRDefault="0090236F" w:rsidP="000E0C2F">
      <w:pPr>
        <w:pStyle w:val="ListParagraph"/>
        <w:numPr>
          <w:ilvl w:val="0"/>
          <w:numId w:val="4"/>
        </w:numPr>
        <w:tabs>
          <w:tab w:val="left" w:pos="2160"/>
        </w:tabs>
        <w:spacing w:after="288" w:line="270" w:lineRule="atLeast"/>
        <w:rPr>
          <w:rFonts w:ascii="Arial" w:eastAsia="Times New Roman" w:hAnsi="Arial" w:cs="Arial"/>
          <w:color w:val="000000" w:themeColor="text1"/>
        </w:rPr>
      </w:pPr>
      <w:r w:rsidRPr="00FF3FBC">
        <w:rPr>
          <w:rFonts w:ascii="Arial" w:eastAsia="Times New Roman" w:hAnsi="Arial" w:cs="Arial"/>
          <w:color w:val="000000" w:themeColor="text1"/>
        </w:rPr>
        <w:t xml:space="preserve">Any face-to-face evaluation that occurs within nine (9) months of a telehealth evaluation </w:t>
      </w:r>
      <w:r w:rsidR="00F124DF">
        <w:rPr>
          <w:rFonts w:ascii="Arial" w:eastAsia="Times New Roman" w:hAnsi="Arial" w:cs="Arial"/>
          <w:color w:val="000000" w:themeColor="text1"/>
        </w:rPr>
        <w:t xml:space="preserve">pursuant to subdivision (3) </w:t>
      </w:r>
      <w:r w:rsidRPr="00FF3FBC">
        <w:rPr>
          <w:rFonts w:ascii="Arial" w:eastAsia="Times New Roman" w:hAnsi="Arial" w:cs="Arial"/>
          <w:color w:val="000000" w:themeColor="text1"/>
        </w:rPr>
        <w:t xml:space="preserve">shall be billed at a flat rate of $503.75 </w:t>
      </w:r>
      <w:r>
        <w:rPr>
          <w:rFonts w:ascii="Arial" w:eastAsia="Times New Roman" w:hAnsi="Arial" w:cs="Arial"/>
          <w:color w:val="000000" w:themeColor="text1"/>
        </w:rPr>
        <w:t xml:space="preserve">plus record review as follows: The fee includes review of 200 </w:t>
      </w:r>
      <w:r w:rsidRPr="00DF1ABF">
        <w:rPr>
          <w:rFonts w:ascii="Arial" w:eastAsia="Times New Roman" w:hAnsi="Arial" w:cs="Arial"/>
          <w:color w:val="000000" w:themeColor="text1"/>
        </w:rPr>
        <w:t>pages of records</w:t>
      </w:r>
      <w:r w:rsidRPr="00FF3FBC">
        <w:rPr>
          <w:rFonts w:ascii="Arial" w:eastAsia="Times New Roman" w:hAnsi="Arial" w:cs="Arial"/>
          <w:color w:val="000000" w:themeColor="text1"/>
        </w:rPr>
        <w:t xml:space="preserve"> </w:t>
      </w:r>
      <w:r w:rsidRPr="00DF1ABF">
        <w:rPr>
          <w:rFonts w:ascii="Arial" w:eastAsia="Times New Roman" w:hAnsi="Arial" w:cs="Arial"/>
          <w:color w:val="000000" w:themeColor="text1"/>
        </w:rPr>
        <w:t>that were not reviewed as part of a prior comprehensive medical-legal evaluation, a prior follow-up medical-legal evaluation</w:t>
      </w:r>
      <w:r w:rsidR="00C54AC2">
        <w:rPr>
          <w:rFonts w:ascii="Arial" w:eastAsia="Times New Roman" w:hAnsi="Arial" w:cs="Arial"/>
          <w:color w:val="000000" w:themeColor="text1"/>
        </w:rPr>
        <w:t>,</w:t>
      </w:r>
      <w:r w:rsidRPr="00DF1ABF">
        <w:rPr>
          <w:rFonts w:ascii="Arial" w:eastAsia="Times New Roman" w:hAnsi="Arial" w:cs="Arial"/>
          <w:color w:val="000000" w:themeColor="text1"/>
        </w:rPr>
        <w:t xml:space="preserve"> or a prior supplemental medical-legal evaluation</w:t>
      </w:r>
      <w:r>
        <w:rPr>
          <w:rFonts w:ascii="Arial" w:eastAsia="Times New Roman" w:hAnsi="Arial" w:cs="Arial"/>
          <w:color w:val="000000" w:themeColor="text1"/>
        </w:rPr>
        <w:t xml:space="preserve">. </w:t>
      </w:r>
      <w:r w:rsidRPr="00DF1ABF">
        <w:rPr>
          <w:rFonts w:ascii="Arial" w:eastAsia="Times New Roman" w:hAnsi="Arial" w:cs="Arial"/>
          <w:color w:val="000000" w:themeColor="text1"/>
        </w:rPr>
        <w:t>Review of records of</w:t>
      </w:r>
      <w:r>
        <w:rPr>
          <w:rFonts w:ascii="Arial" w:eastAsia="Times New Roman" w:hAnsi="Arial" w:cs="Arial"/>
          <w:color w:val="000000" w:themeColor="text1"/>
        </w:rPr>
        <w:t xml:space="preserve"> </w:t>
      </w:r>
      <w:r w:rsidR="00FD6ECD">
        <w:rPr>
          <w:rFonts w:ascii="Arial" w:eastAsia="Times New Roman" w:hAnsi="Arial" w:cs="Arial"/>
          <w:color w:val="000000" w:themeColor="text1"/>
        </w:rPr>
        <w:t>2</w:t>
      </w:r>
      <w:r>
        <w:rPr>
          <w:rFonts w:ascii="Arial" w:eastAsia="Times New Roman" w:hAnsi="Arial" w:cs="Arial"/>
          <w:color w:val="000000" w:themeColor="text1"/>
        </w:rPr>
        <w:t>01</w:t>
      </w:r>
      <w:r w:rsidRPr="00DF1ABF">
        <w:rPr>
          <w:rFonts w:ascii="Arial" w:eastAsia="Times New Roman" w:hAnsi="Arial" w:cs="Arial"/>
          <w:color w:val="000000" w:themeColor="text1"/>
        </w:rPr>
        <w:t xml:space="preserve"> pages </w:t>
      </w:r>
      <w:r>
        <w:rPr>
          <w:rFonts w:ascii="Arial" w:eastAsia="Times New Roman" w:hAnsi="Arial" w:cs="Arial"/>
          <w:color w:val="000000" w:themeColor="text1"/>
        </w:rPr>
        <w:t xml:space="preserve">to 1700 pages </w:t>
      </w:r>
      <w:r w:rsidRPr="00DF1ABF">
        <w:rPr>
          <w:rFonts w:ascii="Arial" w:eastAsia="Times New Roman" w:hAnsi="Arial" w:cs="Arial"/>
          <w:color w:val="000000" w:themeColor="text1"/>
        </w:rPr>
        <w:t>that were not reviewed as part of a prior comprehensive medical-legal evaluation, a prior follow-up medical-legal evaluation</w:t>
      </w:r>
      <w:r w:rsidR="00C54AC2">
        <w:rPr>
          <w:rFonts w:ascii="Arial" w:eastAsia="Times New Roman" w:hAnsi="Arial" w:cs="Arial"/>
          <w:color w:val="000000" w:themeColor="text1"/>
        </w:rPr>
        <w:t>,</w:t>
      </w:r>
      <w:r w:rsidRPr="00DF1ABF">
        <w:rPr>
          <w:rFonts w:ascii="Arial" w:eastAsia="Times New Roman" w:hAnsi="Arial" w:cs="Arial"/>
          <w:color w:val="000000" w:themeColor="text1"/>
        </w:rPr>
        <w:t xml:space="preserve"> or a prior supplemental medical-legal evaluation shall be reimbursed at the rate of $3.00 per page.</w:t>
      </w:r>
      <w:r w:rsidRPr="00DF1ABF">
        <w:rPr>
          <w:rFonts w:ascii="Arial" w:hAnsi="Arial" w:cs="Arial"/>
          <w:color w:val="000000" w:themeColor="text1"/>
        </w:rPr>
        <w:t xml:space="preserve"> </w:t>
      </w:r>
      <w:r w:rsidRPr="00DF1ABF">
        <w:rPr>
          <w:rFonts w:ascii="Arial" w:eastAsia="Times New Roman" w:hAnsi="Arial" w:cs="Arial"/>
          <w:color w:val="000000" w:themeColor="text1"/>
        </w:rPr>
        <w:t>Review of records that were not reviewed as part of a prior comprehensive medical-legal evaluation, a prior follow-up medical-legal evaluation</w:t>
      </w:r>
      <w:r w:rsidR="00C54AC2">
        <w:rPr>
          <w:rFonts w:ascii="Arial" w:eastAsia="Times New Roman" w:hAnsi="Arial" w:cs="Arial"/>
          <w:color w:val="000000" w:themeColor="text1"/>
        </w:rPr>
        <w:t>,</w:t>
      </w:r>
      <w:r w:rsidRPr="00DF1ABF">
        <w:rPr>
          <w:rFonts w:ascii="Arial" w:eastAsia="Times New Roman" w:hAnsi="Arial" w:cs="Arial"/>
          <w:color w:val="000000" w:themeColor="text1"/>
        </w:rPr>
        <w:t xml:space="preserve"> or a prior supplemental medical-le</w:t>
      </w:r>
      <w:r>
        <w:rPr>
          <w:rFonts w:ascii="Arial" w:eastAsia="Times New Roman" w:hAnsi="Arial" w:cs="Arial"/>
          <w:color w:val="000000" w:themeColor="text1"/>
        </w:rPr>
        <w:t>gal evaluation in excess of 1700</w:t>
      </w:r>
      <w:r w:rsidRPr="00DF1ABF">
        <w:rPr>
          <w:rFonts w:ascii="Arial" w:eastAsia="Times New Roman" w:hAnsi="Arial" w:cs="Arial"/>
          <w:color w:val="000000" w:themeColor="text1"/>
        </w:rPr>
        <w:t xml:space="preserve"> pages shall be reimbursed at the rate of $2.00 per pag</w:t>
      </w:r>
      <w:r>
        <w:rPr>
          <w:rFonts w:ascii="Arial" w:eastAsia="Times New Roman" w:hAnsi="Arial" w:cs="Arial"/>
          <w:color w:val="000000" w:themeColor="text1"/>
        </w:rPr>
        <w:t>e.</w:t>
      </w:r>
    </w:p>
    <w:p w14:paraId="76FFAC44" w14:textId="77777777" w:rsidR="0090236F" w:rsidRPr="00C96E1C" w:rsidRDefault="0090236F" w:rsidP="00C96E1C">
      <w:pPr>
        <w:pStyle w:val="ListParagraph"/>
        <w:rPr>
          <w:rFonts w:ascii="Arial" w:eastAsia="Times New Roman" w:hAnsi="Arial" w:cs="Arial"/>
          <w:color w:val="000000" w:themeColor="text1"/>
        </w:rPr>
      </w:pPr>
    </w:p>
    <w:p w14:paraId="4980B718" w14:textId="77777777" w:rsidR="0090236F" w:rsidRPr="00C96E1C" w:rsidRDefault="0090236F" w:rsidP="000E0C2F">
      <w:pPr>
        <w:pStyle w:val="ListParagraph"/>
        <w:numPr>
          <w:ilvl w:val="0"/>
          <w:numId w:val="4"/>
        </w:numPr>
        <w:tabs>
          <w:tab w:val="left" w:pos="2160"/>
        </w:tabs>
        <w:spacing w:after="288" w:line="270" w:lineRule="atLeast"/>
        <w:rPr>
          <w:rFonts w:ascii="Arial" w:eastAsia="Times New Roman" w:hAnsi="Arial" w:cs="Arial"/>
          <w:color w:val="000000" w:themeColor="text1"/>
        </w:rPr>
      </w:pPr>
      <w:r w:rsidRPr="00C96E1C">
        <w:rPr>
          <w:rFonts w:ascii="Arial" w:hAnsi="Arial" w:cs="Arial"/>
        </w:rPr>
        <w:t xml:space="preserve">For </w:t>
      </w:r>
      <w:r w:rsidR="008233C1">
        <w:rPr>
          <w:rFonts w:ascii="Arial" w:hAnsi="Arial" w:cs="Arial"/>
        </w:rPr>
        <w:t xml:space="preserve">purposes of </w:t>
      </w:r>
      <w:r w:rsidR="00F124DF">
        <w:rPr>
          <w:rFonts w:ascii="Arial" w:hAnsi="Arial" w:cs="Arial"/>
        </w:rPr>
        <w:t xml:space="preserve">evaluations pursuant to subdivision (3) of </w:t>
      </w:r>
      <w:r w:rsidR="008233C1">
        <w:rPr>
          <w:rFonts w:ascii="Arial" w:hAnsi="Arial" w:cs="Arial"/>
        </w:rPr>
        <w:t xml:space="preserve">this emergency regulation, </w:t>
      </w:r>
      <w:r w:rsidRPr="00C96E1C">
        <w:rPr>
          <w:rFonts w:ascii="Arial" w:hAnsi="Arial" w:cs="Arial"/>
        </w:rPr>
        <w:t xml:space="preserve">telehealth means remote visits via video-conferencing, video-calling, or similar such technology that allows each party to see </w:t>
      </w:r>
      <w:r w:rsidR="008233C1">
        <w:rPr>
          <w:rFonts w:ascii="Arial" w:hAnsi="Arial" w:cs="Arial"/>
        </w:rPr>
        <w:t xml:space="preserve">the other </w:t>
      </w:r>
      <w:r w:rsidRPr="00C96E1C">
        <w:rPr>
          <w:rFonts w:ascii="Arial" w:hAnsi="Arial" w:cs="Arial"/>
        </w:rPr>
        <w:t>via a video connection.</w:t>
      </w:r>
    </w:p>
    <w:p w14:paraId="69FD0070" w14:textId="77777777" w:rsidR="00C96E1C" w:rsidRPr="00C96E1C" w:rsidRDefault="00C96E1C" w:rsidP="00C96E1C">
      <w:pPr>
        <w:pStyle w:val="ListParagraph"/>
        <w:tabs>
          <w:tab w:val="left" w:pos="2160"/>
        </w:tabs>
        <w:spacing w:after="288" w:line="270" w:lineRule="atLeast"/>
        <w:ind w:left="2880"/>
        <w:rPr>
          <w:rFonts w:ascii="Arial" w:eastAsia="Times New Roman" w:hAnsi="Arial" w:cs="Arial"/>
          <w:color w:val="000000" w:themeColor="text1"/>
        </w:rPr>
      </w:pPr>
    </w:p>
    <w:p w14:paraId="2A06B808" w14:textId="77777777" w:rsidR="0090236F" w:rsidRDefault="0090236F" w:rsidP="00C96E1C">
      <w:pPr>
        <w:pStyle w:val="ListParagraph"/>
        <w:tabs>
          <w:tab w:val="left" w:pos="2160"/>
        </w:tabs>
        <w:spacing w:after="288" w:line="270" w:lineRule="atLeast"/>
        <w:ind w:left="3600"/>
        <w:rPr>
          <w:rFonts w:ascii="Arial" w:eastAsia="Times New Roman" w:hAnsi="Arial" w:cs="Arial"/>
          <w:color w:val="000000" w:themeColor="text1"/>
        </w:rPr>
      </w:pPr>
    </w:p>
    <w:p w14:paraId="5ECEE199" w14:textId="77777777" w:rsidR="00F6615B" w:rsidRPr="00AA24C8" w:rsidRDefault="00F6615B" w:rsidP="00F6615B">
      <w:pPr>
        <w:pStyle w:val="ListParagraph"/>
        <w:numPr>
          <w:ilvl w:val="0"/>
          <w:numId w:val="8"/>
        </w:numPr>
        <w:ind w:hanging="1080"/>
        <w:rPr>
          <w:rFonts w:ascii="Arial" w:hAnsi="Arial" w:cs="Arial"/>
        </w:rPr>
      </w:pPr>
      <w:r w:rsidRPr="00AA24C8">
        <w:rPr>
          <w:rFonts w:ascii="Arial" w:hAnsi="Arial" w:cs="Arial"/>
        </w:rPr>
        <w:t xml:space="preserve">Record </w:t>
      </w:r>
      <w:r w:rsidR="001A31EE" w:rsidRPr="00AA24C8">
        <w:rPr>
          <w:rFonts w:ascii="Arial" w:hAnsi="Arial" w:cs="Arial"/>
        </w:rPr>
        <w:t>r</w:t>
      </w:r>
      <w:r w:rsidRPr="00AA24C8">
        <w:rPr>
          <w:rFonts w:ascii="Arial" w:hAnsi="Arial" w:cs="Arial"/>
        </w:rPr>
        <w:t>eview means the review by a physician of documents sent to the physician in connection with a medical-legal evaluation or request for report. The documents may consist of medical records, legal transcripts, medical test results and or other relevant documents. For purposes of record review, a page is defined as an 8 ½ by 11 or 8 ½ by 14 single sided document, chart or paper, whether in physical or electronic form.</w:t>
      </w:r>
    </w:p>
    <w:p w14:paraId="41B18A7E" w14:textId="77777777" w:rsidR="00F6615B" w:rsidRPr="00F6615B" w:rsidRDefault="00F6615B" w:rsidP="00AA24C8">
      <w:pPr>
        <w:pStyle w:val="ListParagraph"/>
        <w:shd w:val="clear" w:color="auto" w:fill="FFFFFF"/>
        <w:spacing w:line="288" w:lineRule="atLeast"/>
        <w:ind w:left="1440"/>
        <w:rPr>
          <w:rFonts w:ascii="Arial" w:eastAsia="Times New Roman" w:hAnsi="Arial" w:cs="Arial"/>
          <w:color w:val="212121"/>
          <w:lang w:val="en"/>
        </w:rPr>
      </w:pPr>
    </w:p>
    <w:p w14:paraId="531ACA6E" w14:textId="77777777" w:rsidR="00F6615B" w:rsidRDefault="00F6615B" w:rsidP="00AA24C8">
      <w:pPr>
        <w:pStyle w:val="ListParagraph"/>
        <w:tabs>
          <w:tab w:val="left" w:pos="2160"/>
        </w:tabs>
        <w:spacing w:after="288" w:line="270" w:lineRule="atLeast"/>
        <w:ind w:left="1440"/>
        <w:rPr>
          <w:rFonts w:ascii="Arial" w:eastAsia="Times New Roman" w:hAnsi="Arial" w:cs="Arial"/>
          <w:color w:val="000000" w:themeColor="text1"/>
        </w:rPr>
      </w:pPr>
    </w:p>
    <w:p w14:paraId="45D4C2D0" w14:textId="77777777" w:rsidR="0036039A" w:rsidRDefault="0036039A" w:rsidP="00E10D11">
      <w:pPr>
        <w:pStyle w:val="ListParagraph"/>
        <w:numPr>
          <w:ilvl w:val="0"/>
          <w:numId w:val="8"/>
        </w:numPr>
        <w:tabs>
          <w:tab w:val="left" w:pos="2160"/>
        </w:tabs>
        <w:spacing w:after="288" w:line="270" w:lineRule="atLeast"/>
        <w:ind w:hanging="1080"/>
        <w:rPr>
          <w:rFonts w:ascii="Arial" w:eastAsia="Times New Roman" w:hAnsi="Arial" w:cs="Arial"/>
          <w:color w:val="000000" w:themeColor="text1"/>
        </w:rPr>
      </w:pPr>
      <w:r>
        <w:rPr>
          <w:rFonts w:ascii="Arial" w:eastAsia="Times New Roman" w:hAnsi="Arial" w:cs="Arial"/>
          <w:color w:val="000000" w:themeColor="text1"/>
        </w:rPr>
        <w:t>Modifiers may apply to the flat rate fees that are billable under this emergency regulation. No modifiers shall be applied to “per page” record review charges. The flat rate fees may be modified as follows:</w:t>
      </w:r>
    </w:p>
    <w:p w14:paraId="0E429223" w14:textId="77777777" w:rsidR="0036039A" w:rsidRDefault="0036039A" w:rsidP="00AA24C8">
      <w:pPr>
        <w:pStyle w:val="ListParagraph"/>
        <w:tabs>
          <w:tab w:val="left" w:pos="2160"/>
        </w:tabs>
        <w:spacing w:after="288" w:line="270" w:lineRule="atLeast"/>
        <w:ind w:left="1440"/>
        <w:rPr>
          <w:rFonts w:ascii="Arial" w:eastAsia="Times New Roman" w:hAnsi="Arial" w:cs="Arial"/>
          <w:color w:val="000000" w:themeColor="text1"/>
        </w:rPr>
      </w:pPr>
    </w:p>
    <w:p w14:paraId="2AED03C3" w14:textId="77777777" w:rsidR="00E10D11" w:rsidRDefault="00E10D11" w:rsidP="00E10D11">
      <w:pPr>
        <w:pStyle w:val="ListParagraph"/>
        <w:tabs>
          <w:tab w:val="left" w:pos="2160"/>
        </w:tabs>
        <w:spacing w:after="288" w:line="270" w:lineRule="atLeast"/>
        <w:ind w:left="1440"/>
        <w:rPr>
          <w:rFonts w:ascii="Arial" w:eastAsia="Times New Roman" w:hAnsi="Arial" w:cs="Arial"/>
          <w:color w:val="000000" w:themeColor="text1"/>
        </w:rPr>
      </w:pPr>
    </w:p>
    <w:p w14:paraId="61B60869" w14:textId="77777777" w:rsidR="00E10D11" w:rsidRPr="00E10D11" w:rsidRDefault="00E10D11" w:rsidP="00E10D11">
      <w:pPr>
        <w:pStyle w:val="ListParagraph"/>
        <w:numPr>
          <w:ilvl w:val="0"/>
          <w:numId w:val="11"/>
        </w:numPr>
        <w:tabs>
          <w:tab w:val="left" w:pos="2160"/>
        </w:tabs>
        <w:spacing w:after="288" w:line="270" w:lineRule="atLeast"/>
        <w:ind w:left="2160" w:hanging="1080"/>
        <w:rPr>
          <w:rFonts w:ascii="Arial" w:eastAsia="Times New Roman" w:hAnsi="Arial" w:cs="Arial"/>
          <w:color w:val="000000" w:themeColor="text1"/>
        </w:rPr>
      </w:pPr>
      <w:r>
        <w:rPr>
          <w:rFonts w:ascii="Arial" w:eastAsia="Times New Roman" w:hAnsi="Arial" w:cs="Arial"/>
          <w:color w:val="212121"/>
          <w:lang w:val="en"/>
        </w:rPr>
        <w:t>Modifier 93 code shall be used if an i</w:t>
      </w:r>
      <w:r w:rsidRPr="00561859">
        <w:rPr>
          <w:rFonts w:ascii="Arial" w:eastAsia="Times New Roman" w:hAnsi="Arial" w:cs="Arial"/>
          <w:color w:val="212121"/>
          <w:lang w:val="en"/>
        </w:rPr>
        <w:t xml:space="preserve">nterpreter </w:t>
      </w:r>
      <w:r w:rsidR="006632DD">
        <w:rPr>
          <w:rFonts w:ascii="Arial" w:eastAsia="Times New Roman" w:hAnsi="Arial" w:cs="Arial"/>
          <w:color w:val="212121"/>
          <w:lang w:val="en"/>
        </w:rPr>
        <w:t xml:space="preserve">is </w:t>
      </w:r>
      <w:r w:rsidRPr="00561859">
        <w:rPr>
          <w:rFonts w:ascii="Arial" w:eastAsia="Times New Roman" w:hAnsi="Arial" w:cs="Arial"/>
          <w:color w:val="212121"/>
          <w:lang w:val="en"/>
        </w:rPr>
        <w:t xml:space="preserve">needed at </w:t>
      </w:r>
      <w:r w:rsidR="006632DD">
        <w:rPr>
          <w:rFonts w:ascii="Arial" w:eastAsia="Times New Roman" w:hAnsi="Arial" w:cs="Arial"/>
          <w:color w:val="212121"/>
          <w:lang w:val="en"/>
        </w:rPr>
        <w:t xml:space="preserve">the </w:t>
      </w:r>
      <w:r w:rsidRPr="00561859">
        <w:rPr>
          <w:rFonts w:ascii="Arial" w:eastAsia="Times New Roman" w:hAnsi="Arial" w:cs="Arial"/>
          <w:color w:val="212121"/>
          <w:lang w:val="en"/>
        </w:rPr>
        <w:t xml:space="preserve">time of </w:t>
      </w:r>
      <w:r w:rsidR="00553BCC">
        <w:rPr>
          <w:rFonts w:ascii="Arial" w:eastAsia="Times New Roman" w:hAnsi="Arial" w:cs="Arial"/>
          <w:color w:val="212121"/>
          <w:lang w:val="en"/>
        </w:rPr>
        <w:t>interview, evaluation</w:t>
      </w:r>
      <w:r>
        <w:rPr>
          <w:rFonts w:ascii="Arial" w:eastAsia="Times New Roman" w:hAnsi="Arial" w:cs="Arial"/>
          <w:color w:val="212121"/>
          <w:lang w:val="en"/>
        </w:rPr>
        <w:t xml:space="preserve"> or telehealth </w:t>
      </w:r>
      <w:r w:rsidR="00553BCC">
        <w:rPr>
          <w:rFonts w:ascii="Arial" w:eastAsia="Times New Roman" w:hAnsi="Arial" w:cs="Arial"/>
          <w:color w:val="212121"/>
          <w:lang w:val="en"/>
        </w:rPr>
        <w:t>evaluation</w:t>
      </w:r>
      <w:r w:rsidRPr="00561859">
        <w:rPr>
          <w:rFonts w:ascii="Arial" w:eastAsia="Times New Roman" w:hAnsi="Arial" w:cs="Arial"/>
          <w:color w:val="212121"/>
          <w:lang w:val="en"/>
        </w:rPr>
        <w:t xml:space="preserve">, or other circumstances </w:t>
      </w:r>
      <w:r w:rsidR="006632DD">
        <w:rPr>
          <w:rFonts w:ascii="Arial" w:eastAsia="Times New Roman" w:hAnsi="Arial" w:cs="Arial"/>
          <w:color w:val="212121"/>
          <w:lang w:val="en"/>
        </w:rPr>
        <w:t xml:space="preserve">exist that </w:t>
      </w:r>
      <w:r w:rsidRPr="00561859">
        <w:rPr>
          <w:rFonts w:ascii="Arial" w:eastAsia="Times New Roman" w:hAnsi="Arial" w:cs="Arial"/>
          <w:color w:val="212121"/>
          <w:lang w:val="en"/>
        </w:rPr>
        <w:t>impair communication between the physician and the injured worker</w:t>
      </w:r>
      <w:r w:rsidR="006632DD">
        <w:rPr>
          <w:rFonts w:ascii="Arial" w:eastAsia="Times New Roman" w:hAnsi="Arial" w:cs="Arial"/>
          <w:color w:val="212121"/>
          <w:lang w:val="en"/>
        </w:rPr>
        <w:t>,</w:t>
      </w:r>
      <w:r w:rsidRPr="00561859">
        <w:rPr>
          <w:rFonts w:ascii="Arial" w:eastAsia="Times New Roman" w:hAnsi="Arial" w:cs="Arial"/>
          <w:color w:val="212121"/>
          <w:lang w:val="en"/>
        </w:rPr>
        <w:t xml:space="preserve"> </w:t>
      </w:r>
      <w:r w:rsidR="006632DD">
        <w:rPr>
          <w:rFonts w:ascii="Arial" w:eastAsia="Times New Roman" w:hAnsi="Arial" w:cs="Arial"/>
          <w:color w:val="212121"/>
          <w:lang w:val="en"/>
        </w:rPr>
        <w:t xml:space="preserve">which </w:t>
      </w:r>
      <w:r w:rsidRPr="00561859">
        <w:rPr>
          <w:rFonts w:ascii="Arial" w:eastAsia="Times New Roman" w:hAnsi="Arial" w:cs="Arial"/>
          <w:color w:val="212121"/>
          <w:lang w:val="en"/>
        </w:rPr>
        <w:t>significantly increase</w:t>
      </w:r>
      <w:r w:rsidR="006632DD">
        <w:rPr>
          <w:rFonts w:ascii="Arial" w:eastAsia="Times New Roman" w:hAnsi="Arial" w:cs="Arial"/>
          <w:color w:val="212121"/>
          <w:lang w:val="en"/>
        </w:rPr>
        <w:t>s</w:t>
      </w:r>
      <w:r w:rsidRPr="00561859">
        <w:rPr>
          <w:rFonts w:ascii="Arial" w:eastAsia="Times New Roman" w:hAnsi="Arial" w:cs="Arial"/>
          <w:color w:val="212121"/>
          <w:lang w:val="en"/>
        </w:rPr>
        <w:t xml:space="preserve"> the time needed to conduct the examination. </w:t>
      </w:r>
      <w:r w:rsidR="006632DD">
        <w:rPr>
          <w:rFonts w:ascii="Arial" w:eastAsia="Times New Roman" w:hAnsi="Arial" w:cs="Arial"/>
          <w:color w:val="212121"/>
          <w:lang w:val="en"/>
        </w:rPr>
        <w:t>This modifier code r</w:t>
      </w:r>
      <w:r w:rsidRPr="00561859">
        <w:rPr>
          <w:rFonts w:ascii="Arial" w:eastAsia="Times New Roman" w:hAnsi="Arial" w:cs="Arial"/>
          <w:color w:val="212121"/>
          <w:lang w:val="en"/>
        </w:rPr>
        <w:t xml:space="preserve">equires a description of the circumstance and </w:t>
      </w:r>
      <w:r w:rsidRPr="00561859">
        <w:rPr>
          <w:rFonts w:ascii="Arial" w:eastAsia="Times New Roman" w:hAnsi="Arial" w:cs="Arial"/>
          <w:lang w:val="en"/>
        </w:rPr>
        <w:t xml:space="preserve">the increased time required for the examination as a result. Where this modifier is applicable, the value for the </w:t>
      </w:r>
      <w:r>
        <w:rPr>
          <w:rFonts w:ascii="Arial" w:eastAsia="Times New Roman" w:hAnsi="Arial" w:cs="Arial"/>
          <w:lang w:val="en"/>
        </w:rPr>
        <w:t>flat rate</w:t>
      </w:r>
      <w:r w:rsidRPr="00561859">
        <w:rPr>
          <w:rFonts w:ascii="Arial" w:eastAsia="Times New Roman" w:hAnsi="Arial" w:cs="Arial"/>
          <w:lang w:val="en"/>
        </w:rPr>
        <w:t xml:space="preserve"> is modified by multiplying the normal value by 1.1. This modifier shall only be applicable</w:t>
      </w:r>
      <w:r>
        <w:rPr>
          <w:rFonts w:ascii="Arial" w:eastAsia="Times New Roman" w:hAnsi="Arial" w:cs="Arial"/>
          <w:lang w:val="en"/>
        </w:rPr>
        <w:t xml:space="preserve"> to the flat rate</w:t>
      </w:r>
      <w:r w:rsidRPr="00561859">
        <w:rPr>
          <w:rFonts w:ascii="Arial" w:eastAsia="Times New Roman" w:hAnsi="Arial" w:cs="Arial"/>
          <w:lang w:val="en"/>
        </w:rPr>
        <w:t>.</w:t>
      </w:r>
    </w:p>
    <w:p w14:paraId="1F6D834E" w14:textId="77777777" w:rsidR="00E10D11" w:rsidRPr="00E10D11" w:rsidRDefault="00E10D11" w:rsidP="00E10D11">
      <w:pPr>
        <w:pStyle w:val="ListParagraph"/>
        <w:tabs>
          <w:tab w:val="left" w:pos="2160"/>
        </w:tabs>
        <w:spacing w:after="288" w:line="270" w:lineRule="atLeast"/>
        <w:ind w:left="2160"/>
        <w:rPr>
          <w:rFonts w:ascii="Arial" w:eastAsia="Times New Roman" w:hAnsi="Arial" w:cs="Arial"/>
          <w:color w:val="000000" w:themeColor="text1"/>
        </w:rPr>
      </w:pPr>
    </w:p>
    <w:p w14:paraId="47531509" w14:textId="77777777" w:rsidR="00E10D11" w:rsidRPr="00E10D11" w:rsidRDefault="00E10D11" w:rsidP="00E10D11">
      <w:pPr>
        <w:pStyle w:val="ListParagraph"/>
        <w:numPr>
          <w:ilvl w:val="0"/>
          <w:numId w:val="11"/>
        </w:numPr>
        <w:tabs>
          <w:tab w:val="left" w:pos="2160"/>
        </w:tabs>
        <w:spacing w:after="288" w:line="270" w:lineRule="atLeast"/>
        <w:ind w:left="2160" w:hanging="1080"/>
        <w:rPr>
          <w:rFonts w:ascii="Arial" w:eastAsia="Times New Roman" w:hAnsi="Arial" w:cs="Arial"/>
          <w:color w:val="000000" w:themeColor="text1"/>
        </w:rPr>
      </w:pPr>
      <w:r>
        <w:rPr>
          <w:rFonts w:ascii="Arial" w:eastAsia="Times New Roman" w:hAnsi="Arial" w:cs="Arial"/>
          <w:lang w:val="en"/>
        </w:rPr>
        <w:t>Modifier 94 code shall be used for an e</w:t>
      </w:r>
      <w:r w:rsidRPr="00E10D11">
        <w:rPr>
          <w:rFonts w:ascii="Arial" w:eastAsia="Times New Roman" w:hAnsi="Arial" w:cs="Arial"/>
          <w:lang w:val="en"/>
        </w:rPr>
        <w:t xml:space="preserve">valuation performed by an Agreed Medical Evaluator. Where this modifier is applicable, the value of the procedure is modified by multiplying the normal value by 1.25. If modifier </w:t>
      </w:r>
      <w:r w:rsidRPr="00E10D11">
        <w:rPr>
          <w:rFonts w:ascii="Arial" w:eastAsia="Times New Roman" w:hAnsi="Arial" w:cs="Arial"/>
          <w:strike/>
          <w:lang w:val="en"/>
        </w:rPr>
        <w:t>-</w:t>
      </w:r>
      <w:r w:rsidRPr="00E10D11">
        <w:rPr>
          <w:rFonts w:ascii="Arial" w:eastAsia="Times New Roman" w:hAnsi="Arial" w:cs="Arial"/>
          <w:lang w:val="en"/>
        </w:rPr>
        <w:t xml:space="preserve">93 is also applicable, then the value of the procedure is modified by multiplying the normal value by 1.35. </w:t>
      </w:r>
      <w:r w:rsidRPr="00561859">
        <w:rPr>
          <w:rFonts w:ascii="Arial" w:eastAsia="Times New Roman" w:hAnsi="Arial" w:cs="Arial"/>
          <w:lang w:val="en"/>
        </w:rPr>
        <w:t>This modifier shall only be applicable</w:t>
      </w:r>
      <w:r>
        <w:rPr>
          <w:rFonts w:ascii="Arial" w:eastAsia="Times New Roman" w:hAnsi="Arial" w:cs="Arial"/>
          <w:lang w:val="en"/>
        </w:rPr>
        <w:t xml:space="preserve"> to the flat rate</w:t>
      </w:r>
      <w:r w:rsidRPr="00561859">
        <w:rPr>
          <w:rFonts w:ascii="Arial" w:eastAsia="Times New Roman" w:hAnsi="Arial" w:cs="Arial"/>
          <w:lang w:val="en"/>
        </w:rPr>
        <w:t>.</w:t>
      </w:r>
    </w:p>
    <w:p w14:paraId="595AE1F8" w14:textId="77777777" w:rsidR="00E10D11" w:rsidRDefault="00E10D11" w:rsidP="00E10D11">
      <w:pPr>
        <w:pStyle w:val="ListParagraph"/>
        <w:shd w:val="clear" w:color="auto" w:fill="FFFFFF"/>
        <w:spacing w:line="288" w:lineRule="atLeast"/>
        <w:ind w:left="2160"/>
        <w:rPr>
          <w:rFonts w:ascii="Arial" w:eastAsia="Times New Roman" w:hAnsi="Arial" w:cs="Arial"/>
          <w:lang w:val="en"/>
        </w:rPr>
      </w:pPr>
    </w:p>
    <w:p w14:paraId="0E9BCFEC" w14:textId="77777777" w:rsidR="00E10D11" w:rsidRDefault="00E10D11" w:rsidP="00E10D11">
      <w:pPr>
        <w:shd w:val="clear" w:color="auto" w:fill="FFFFFF"/>
        <w:spacing w:line="288" w:lineRule="atLeast"/>
        <w:rPr>
          <w:rFonts w:ascii="Arial" w:eastAsia="Times New Roman" w:hAnsi="Arial" w:cs="Arial"/>
          <w:color w:val="2E74B5" w:themeColor="accent1" w:themeShade="BF"/>
          <w:u w:val="single"/>
          <w:lang w:val="en"/>
        </w:rPr>
      </w:pPr>
    </w:p>
    <w:p w14:paraId="0A8448A2" w14:textId="77777777" w:rsidR="00C96E1C" w:rsidRPr="006632DD" w:rsidRDefault="00F20522" w:rsidP="00F20522">
      <w:pPr>
        <w:pStyle w:val="ListParagraph"/>
        <w:tabs>
          <w:tab w:val="left" w:pos="2160"/>
        </w:tabs>
        <w:spacing w:after="288" w:line="270" w:lineRule="atLeast"/>
        <w:ind w:left="1440" w:hanging="1080"/>
        <w:rPr>
          <w:rFonts w:ascii="Arial" w:eastAsia="Times New Roman" w:hAnsi="Arial" w:cs="Arial"/>
          <w:color w:val="000000" w:themeColor="text1"/>
        </w:rPr>
      </w:pPr>
      <w:r>
        <w:rPr>
          <w:rFonts w:ascii="Arial" w:eastAsia="Times New Roman" w:hAnsi="Arial" w:cs="Arial"/>
          <w:color w:val="000000" w:themeColor="text1"/>
        </w:rPr>
        <w:t>(</w:t>
      </w:r>
      <w:r w:rsidR="00AA24C8">
        <w:rPr>
          <w:rFonts w:ascii="Arial" w:eastAsia="Times New Roman" w:hAnsi="Arial" w:cs="Arial"/>
          <w:color w:val="000000" w:themeColor="text1"/>
        </w:rPr>
        <w:t>d</w:t>
      </w:r>
      <w:r>
        <w:rPr>
          <w:rFonts w:ascii="Arial" w:eastAsia="Times New Roman" w:hAnsi="Arial" w:cs="Arial"/>
          <w:color w:val="000000" w:themeColor="text1"/>
        </w:rPr>
        <w:t>)</w:t>
      </w:r>
      <w:r>
        <w:rPr>
          <w:rFonts w:ascii="Arial" w:eastAsia="Times New Roman" w:hAnsi="Arial" w:cs="Arial"/>
          <w:color w:val="000000" w:themeColor="text1"/>
        </w:rPr>
        <w:tab/>
      </w:r>
      <w:r w:rsidR="00B258D2" w:rsidRPr="00C96E1C">
        <w:rPr>
          <w:rFonts w:ascii="Arial" w:eastAsia="Times New Roman" w:hAnsi="Arial" w:cs="Arial"/>
          <w:color w:val="000000" w:themeColor="text1"/>
        </w:rPr>
        <w:t>During the time this regulation is in effect</w:t>
      </w:r>
      <w:r w:rsidR="006632DD">
        <w:rPr>
          <w:rFonts w:ascii="Arial" w:eastAsia="Times New Roman" w:hAnsi="Arial" w:cs="Arial"/>
          <w:color w:val="000000" w:themeColor="text1"/>
        </w:rPr>
        <w:t>, section 31.3 (e) of</w:t>
      </w:r>
      <w:r w:rsidR="00B258D2" w:rsidRPr="00C96E1C">
        <w:rPr>
          <w:rFonts w:ascii="Arial" w:eastAsia="Times New Roman" w:hAnsi="Arial" w:cs="Arial"/>
          <w:color w:val="000000" w:themeColor="text1"/>
        </w:rPr>
        <w:t xml:space="preserve"> title 8 </w:t>
      </w:r>
      <w:r w:rsidR="006632DD">
        <w:rPr>
          <w:rFonts w:ascii="Arial" w:eastAsia="Times New Roman" w:hAnsi="Arial" w:cs="Arial"/>
          <w:color w:val="000000" w:themeColor="text1"/>
        </w:rPr>
        <w:t xml:space="preserve">of the </w:t>
      </w:r>
      <w:r w:rsidR="00B258D2" w:rsidRPr="00C96E1C">
        <w:rPr>
          <w:rFonts w:ascii="Arial" w:eastAsia="Times New Roman" w:hAnsi="Arial" w:cs="Arial"/>
          <w:color w:val="000000" w:themeColor="text1"/>
        </w:rPr>
        <w:t>California Code of Regulations</w:t>
      </w:r>
      <w:r w:rsidR="006632DD">
        <w:rPr>
          <w:rFonts w:ascii="Arial" w:eastAsia="Times New Roman" w:hAnsi="Arial" w:cs="Arial"/>
          <w:color w:val="000000" w:themeColor="text1"/>
        </w:rPr>
        <w:t>,</w:t>
      </w:r>
      <w:r w:rsidR="00B258D2" w:rsidRPr="00C96E1C">
        <w:rPr>
          <w:rFonts w:ascii="Arial" w:eastAsia="Times New Roman" w:hAnsi="Arial" w:cs="Arial"/>
          <w:color w:val="000000" w:themeColor="text1"/>
        </w:rPr>
        <w:t xml:space="preserve"> is suspended and the following is effective:</w:t>
      </w:r>
    </w:p>
    <w:p w14:paraId="0FE335A9" w14:textId="77777777" w:rsidR="00C96E1C" w:rsidRDefault="00C96E1C" w:rsidP="00C96E1C">
      <w:pPr>
        <w:tabs>
          <w:tab w:val="left" w:pos="2160"/>
        </w:tabs>
        <w:spacing w:after="288" w:line="270" w:lineRule="atLeast"/>
        <w:ind w:left="2160" w:hanging="1080"/>
        <w:rPr>
          <w:rFonts w:ascii="Arial" w:eastAsia="Times New Roman" w:hAnsi="Arial" w:cs="Arial"/>
          <w:color w:val="000000" w:themeColor="text1"/>
        </w:rPr>
      </w:pPr>
      <w:r>
        <w:rPr>
          <w:rFonts w:ascii="Arial" w:eastAsia="Times New Roman" w:hAnsi="Arial" w:cs="Arial"/>
          <w:color w:val="000000" w:themeColor="text1"/>
        </w:rPr>
        <w:t>(1)</w:t>
      </w:r>
      <w:r>
        <w:rPr>
          <w:rFonts w:ascii="Arial" w:eastAsia="Times New Roman" w:hAnsi="Arial" w:cs="Arial"/>
          <w:color w:val="000000" w:themeColor="text1"/>
        </w:rPr>
        <w:tab/>
      </w:r>
      <w:r w:rsidRPr="00C96E1C">
        <w:rPr>
          <w:rFonts w:ascii="Arial" w:eastAsia="Times New Roman" w:hAnsi="Arial" w:cs="Arial"/>
          <w:color w:val="000000" w:themeColor="text1"/>
        </w:rPr>
        <w:t xml:space="preserve">If a party with the legal right to schedule an appointment with a QME is unable to obtain an appointment with a selected QME within 90 days of the date of the appointment request, that party may waive the right to a replacement </w:t>
      </w:r>
      <w:r w:rsidR="006632DD">
        <w:rPr>
          <w:rFonts w:ascii="Arial" w:eastAsia="Times New Roman" w:hAnsi="Arial" w:cs="Arial"/>
          <w:color w:val="000000" w:themeColor="text1"/>
        </w:rPr>
        <w:t xml:space="preserve">QME </w:t>
      </w:r>
      <w:r w:rsidRPr="00C96E1C">
        <w:rPr>
          <w:rFonts w:ascii="Arial" w:eastAsia="Times New Roman" w:hAnsi="Arial" w:cs="Arial"/>
          <w:color w:val="000000" w:themeColor="text1"/>
        </w:rPr>
        <w:t xml:space="preserve">in order to accept an appointment </w:t>
      </w:r>
      <w:r w:rsidR="006632DD">
        <w:rPr>
          <w:rFonts w:ascii="Arial" w:eastAsia="Times New Roman" w:hAnsi="Arial" w:cs="Arial"/>
          <w:color w:val="000000" w:themeColor="text1"/>
        </w:rPr>
        <w:t xml:space="preserve">that is </w:t>
      </w:r>
      <w:r w:rsidRPr="00C96E1C">
        <w:rPr>
          <w:rFonts w:ascii="Arial" w:eastAsia="Times New Roman" w:hAnsi="Arial" w:cs="Arial"/>
          <w:color w:val="000000" w:themeColor="text1"/>
        </w:rPr>
        <w:t xml:space="preserve">no more than </w:t>
      </w:r>
      <w:r w:rsidR="006632DD">
        <w:rPr>
          <w:rFonts w:ascii="Arial" w:eastAsia="Times New Roman" w:hAnsi="Arial" w:cs="Arial"/>
          <w:color w:val="000000" w:themeColor="text1"/>
        </w:rPr>
        <w:t xml:space="preserve">120 </w:t>
      </w:r>
      <w:r w:rsidRPr="00C96E1C">
        <w:rPr>
          <w:rFonts w:ascii="Arial" w:eastAsia="Times New Roman" w:hAnsi="Arial" w:cs="Arial"/>
          <w:color w:val="000000" w:themeColor="text1"/>
        </w:rPr>
        <w:t xml:space="preserve">days after the date of the party's initial appointment request. When the selected QME is unable to schedule the evaluation within 120 days of the date of that party's initial appointment request, either party may report the unavailability of the QME and the Medical Director shall issue a replacement pursuant to section 31.5 of </w:t>
      </w:r>
      <w:r w:rsidR="006632DD">
        <w:rPr>
          <w:rFonts w:ascii="Arial" w:eastAsia="Times New Roman" w:hAnsi="Arial" w:cs="Arial"/>
          <w:color w:val="000000" w:themeColor="text1"/>
        </w:rPr>
        <w:t>t</w:t>
      </w:r>
      <w:r w:rsidRPr="00C96E1C">
        <w:rPr>
          <w:rFonts w:ascii="Arial" w:eastAsia="Times New Roman" w:hAnsi="Arial" w:cs="Arial"/>
          <w:color w:val="000000" w:themeColor="text1"/>
        </w:rPr>
        <w:t xml:space="preserve">itle 8 of the California Code of Regulations upon request, unless both parties agree in writing to waive the </w:t>
      </w:r>
      <w:r w:rsidR="006632DD">
        <w:rPr>
          <w:rFonts w:ascii="Arial" w:eastAsia="Times New Roman" w:hAnsi="Arial" w:cs="Arial"/>
          <w:color w:val="000000" w:themeColor="text1"/>
        </w:rPr>
        <w:t>120</w:t>
      </w:r>
      <w:r w:rsidR="001431B7">
        <w:rPr>
          <w:rFonts w:ascii="Arial" w:eastAsia="Times New Roman" w:hAnsi="Arial" w:cs="Arial"/>
          <w:color w:val="000000" w:themeColor="text1"/>
        </w:rPr>
        <w:t>-</w:t>
      </w:r>
      <w:r w:rsidRPr="00C96E1C">
        <w:rPr>
          <w:rFonts w:ascii="Arial" w:eastAsia="Times New Roman" w:hAnsi="Arial" w:cs="Arial"/>
          <w:color w:val="000000" w:themeColor="text1"/>
        </w:rPr>
        <w:t>day time limit for scheduling the initial evaluation</w:t>
      </w:r>
      <w:r>
        <w:rPr>
          <w:rFonts w:ascii="Arial" w:eastAsia="Times New Roman" w:hAnsi="Arial" w:cs="Arial"/>
          <w:color w:val="000000" w:themeColor="text1"/>
        </w:rPr>
        <w:t>.</w:t>
      </w:r>
    </w:p>
    <w:p w14:paraId="1A8E60D3" w14:textId="77777777" w:rsidR="0063601E" w:rsidRPr="00F20522" w:rsidRDefault="00F20522" w:rsidP="00F20522">
      <w:pPr>
        <w:tabs>
          <w:tab w:val="left" w:pos="1440"/>
        </w:tabs>
        <w:spacing w:line="270" w:lineRule="atLeast"/>
        <w:ind w:left="1440" w:hanging="1080"/>
        <w:rPr>
          <w:rFonts w:ascii="Arial" w:eastAsia="Times New Roman" w:hAnsi="Arial" w:cs="Arial"/>
          <w:color w:val="000000" w:themeColor="text1"/>
        </w:rPr>
      </w:pPr>
      <w:r>
        <w:rPr>
          <w:rFonts w:ascii="Arial" w:eastAsia="Times New Roman" w:hAnsi="Arial" w:cs="Arial"/>
          <w:color w:val="000000" w:themeColor="text1"/>
        </w:rPr>
        <w:t>(</w:t>
      </w:r>
      <w:r w:rsidR="00AA24C8">
        <w:rPr>
          <w:rFonts w:ascii="Arial" w:eastAsia="Times New Roman" w:hAnsi="Arial" w:cs="Arial"/>
          <w:color w:val="000000" w:themeColor="text1"/>
        </w:rPr>
        <w:t>e</w:t>
      </w:r>
      <w:r>
        <w:rPr>
          <w:rFonts w:ascii="Arial" w:eastAsia="Times New Roman" w:hAnsi="Arial" w:cs="Arial"/>
          <w:color w:val="000000" w:themeColor="text1"/>
        </w:rPr>
        <w:t>)</w:t>
      </w:r>
      <w:r>
        <w:rPr>
          <w:rFonts w:ascii="Arial" w:eastAsia="Times New Roman" w:hAnsi="Arial" w:cs="Arial"/>
          <w:color w:val="000000" w:themeColor="text1"/>
        </w:rPr>
        <w:tab/>
      </w:r>
      <w:r w:rsidR="00C96E1C" w:rsidRPr="00F20522">
        <w:rPr>
          <w:rFonts w:ascii="Arial" w:eastAsia="Times New Roman" w:hAnsi="Arial" w:cs="Arial"/>
          <w:color w:val="000000" w:themeColor="text1"/>
        </w:rPr>
        <w:t>During the time this regulation is in effect</w:t>
      </w:r>
      <w:r w:rsidR="006632DD" w:rsidRPr="00F20522">
        <w:rPr>
          <w:rFonts w:ascii="Arial" w:eastAsia="Times New Roman" w:hAnsi="Arial" w:cs="Arial"/>
          <w:color w:val="000000" w:themeColor="text1"/>
        </w:rPr>
        <w:t>,</w:t>
      </w:r>
      <w:r w:rsidR="00C96E1C" w:rsidRPr="00F20522">
        <w:rPr>
          <w:rFonts w:ascii="Arial" w:eastAsia="Times New Roman" w:hAnsi="Arial" w:cs="Arial"/>
          <w:color w:val="000000" w:themeColor="text1"/>
        </w:rPr>
        <w:t xml:space="preserve"> all of the time </w:t>
      </w:r>
      <w:r w:rsidR="006632DD" w:rsidRPr="00F20522">
        <w:rPr>
          <w:rFonts w:ascii="Arial" w:eastAsia="Times New Roman" w:hAnsi="Arial" w:cs="Arial"/>
          <w:color w:val="000000" w:themeColor="text1"/>
        </w:rPr>
        <w:t xml:space="preserve">periods </w:t>
      </w:r>
      <w:r w:rsidR="00C96E1C" w:rsidRPr="00F20522">
        <w:rPr>
          <w:rFonts w:ascii="Arial" w:eastAsia="Times New Roman" w:hAnsi="Arial" w:cs="Arial"/>
          <w:color w:val="000000" w:themeColor="text1"/>
        </w:rPr>
        <w:t xml:space="preserve">enumerated in </w:t>
      </w:r>
      <w:r w:rsidR="006632DD" w:rsidRPr="00F20522">
        <w:rPr>
          <w:rFonts w:ascii="Arial" w:eastAsia="Times New Roman" w:hAnsi="Arial" w:cs="Arial"/>
          <w:color w:val="000000" w:themeColor="text1"/>
        </w:rPr>
        <w:t xml:space="preserve">section 38 of </w:t>
      </w:r>
      <w:r w:rsidR="00C96E1C" w:rsidRPr="00F20522">
        <w:rPr>
          <w:rFonts w:ascii="Arial" w:eastAsia="Times New Roman" w:hAnsi="Arial" w:cs="Arial"/>
          <w:color w:val="000000" w:themeColor="text1"/>
        </w:rPr>
        <w:t xml:space="preserve">title 8 </w:t>
      </w:r>
      <w:r w:rsidR="006632DD" w:rsidRPr="00F20522">
        <w:rPr>
          <w:rFonts w:ascii="Arial" w:eastAsia="Times New Roman" w:hAnsi="Arial" w:cs="Arial"/>
          <w:color w:val="000000" w:themeColor="text1"/>
        </w:rPr>
        <w:t xml:space="preserve">of the </w:t>
      </w:r>
      <w:r w:rsidR="00C96E1C" w:rsidRPr="00F20522">
        <w:rPr>
          <w:rFonts w:ascii="Arial" w:eastAsia="Times New Roman" w:hAnsi="Arial" w:cs="Arial"/>
          <w:color w:val="000000" w:themeColor="text1"/>
        </w:rPr>
        <w:t xml:space="preserve">California Code of Regulations are extended by a period of </w:t>
      </w:r>
      <w:r w:rsidR="00FD6ECD" w:rsidRPr="00F20522">
        <w:rPr>
          <w:rFonts w:ascii="Arial" w:eastAsia="Times New Roman" w:hAnsi="Arial" w:cs="Arial"/>
          <w:color w:val="000000" w:themeColor="text1"/>
        </w:rPr>
        <w:t>1</w:t>
      </w:r>
      <w:r w:rsidR="00C96E1C" w:rsidRPr="00F20522">
        <w:rPr>
          <w:rFonts w:ascii="Arial" w:eastAsia="Times New Roman" w:hAnsi="Arial" w:cs="Arial"/>
          <w:color w:val="000000" w:themeColor="text1"/>
        </w:rPr>
        <w:t>5 days.</w:t>
      </w:r>
    </w:p>
    <w:p w14:paraId="7E2C2E79" w14:textId="77777777" w:rsidR="0063601E" w:rsidRDefault="0063601E" w:rsidP="0063601E">
      <w:pPr>
        <w:pStyle w:val="ListParagraph"/>
        <w:tabs>
          <w:tab w:val="left" w:pos="2160"/>
        </w:tabs>
        <w:spacing w:line="270" w:lineRule="atLeast"/>
        <w:ind w:left="1440"/>
        <w:rPr>
          <w:rFonts w:ascii="Arial" w:eastAsia="Times New Roman" w:hAnsi="Arial" w:cs="Arial"/>
          <w:color w:val="000000" w:themeColor="text1"/>
        </w:rPr>
      </w:pPr>
    </w:p>
    <w:p w14:paraId="7FFFDAA1" w14:textId="77777777" w:rsidR="0063601E" w:rsidRPr="00F20522" w:rsidRDefault="00F20522" w:rsidP="00F20522">
      <w:pPr>
        <w:tabs>
          <w:tab w:val="left" w:pos="2160"/>
        </w:tabs>
        <w:spacing w:after="288" w:line="270" w:lineRule="atLeast"/>
        <w:ind w:left="1440" w:hanging="1080"/>
        <w:rPr>
          <w:rFonts w:ascii="Arial" w:eastAsia="Times New Roman" w:hAnsi="Arial" w:cs="Arial"/>
          <w:color w:val="000000" w:themeColor="text1"/>
        </w:rPr>
      </w:pPr>
      <w:r>
        <w:rPr>
          <w:rFonts w:ascii="Arial" w:eastAsia="Times New Roman" w:hAnsi="Arial" w:cs="Arial"/>
          <w:color w:val="000000" w:themeColor="text1"/>
        </w:rPr>
        <w:t>(</w:t>
      </w:r>
      <w:r w:rsidR="00AA24C8">
        <w:rPr>
          <w:rFonts w:ascii="Arial" w:eastAsia="Times New Roman" w:hAnsi="Arial" w:cs="Arial"/>
          <w:color w:val="000000" w:themeColor="text1"/>
        </w:rPr>
        <w:t>f</w:t>
      </w:r>
      <w:r>
        <w:rPr>
          <w:rFonts w:ascii="Arial" w:eastAsia="Times New Roman" w:hAnsi="Arial" w:cs="Arial"/>
          <w:color w:val="000000" w:themeColor="text1"/>
        </w:rPr>
        <w:t>)</w:t>
      </w:r>
      <w:r>
        <w:rPr>
          <w:rFonts w:ascii="Arial" w:eastAsia="Times New Roman" w:hAnsi="Arial" w:cs="Arial"/>
          <w:color w:val="000000" w:themeColor="text1"/>
        </w:rPr>
        <w:tab/>
      </w:r>
      <w:r w:rsidR="0063601E" w:rsidRPr="00F20522">
        <w:rPr>
          <w:rFonts w:ascii="Arial" w:eastAsia="Times New Roman" w:hAnsi="Arial" w:cs="Arial"/>
          <w:color w:val="000000" w:themeColor="text1"/>
        </w:rPr>
        <w:t>During the time this regulation is in effect</w:t>
      </w:r>
      <w:r w:rsidR="001F7A85" w:rsidRPr="00F20522">
        <w:rPr>
          <w:rFonts w:ascii="Arial" w:eastAsia="Times New Roman" w:hAnsi="Arial" w:cs="Arial"/>
          <w:color w:val="000000" w:themeColor="text1"/>
        </w:rPr>
        <w:t>, section 34(b) of</w:t>
      </w:r>
      <w:r w:rsidR="0063601E" w:rsidRPr="00F20522">
        <w:rPr>
          <w:rFonts w:ascii="Arial" w:eastAsia="Times New Roman" w:hAnsi="Arial" w:cs="Arial"/>
          <w:color w:val="000000" w:themeColor="text1"/>
        </w:rPr>
        <w:t xml:space="preserve"> title 8 </w:t>
      </w:r>
      <w:r w:rsidR="001F7A85" w:rsidRPr="00F20522">
        <w:rPr>
          <w:rFonts w:ascii="Arial" w:eastAsia="Times New Roman" w:hAnsi="Arial" w:cs="Arial"/>
          <w:color w:val="000000" w:themeColor="text1"/>
        </w:rPr>
        <w:t xml:space="preserve">of the </w:t>
      </w:r>
      <w:r w:rsidR="0063601E" w:rsidRPr="00F20522">
        <w:rPr>
          <w:rFonts w:ascii="Arial" w:eastAsia="Times New Roman" w:hAnsi="Arial" w:cs="Arial"/>
          <w:color w:val="000000" w:themeColor="text1"/>
        </w:rPr>
        <w:t>California Code of Regulations is suspended and the following is effective:</w:t>
      </w:r>
    </w:p>
    <w:p w14:paraId="15734A4D" w14:textId="77777777" w:rsidR="0063601E" w:rsidRPr="0063601E" w:rsidRDefault="0063601E" w:rsidP="0063601E">
      <w:pPr>
        <w:pStyle w:val="ListParagraph"/>
        <w:rPr>
          <w:rFonts w:ascii="Arial" w:eastAsia="Times New Roman" w:hAnsi="Arial" w:cs="Arial"/>
          <w:color w:val="000000" w:themeColor="text1"/>
        </w:rPr>
      </w:pPr>
    </w:p>
    <w:p w14:paraId="02F63089" w14:textId="77777777" w:rsidR="00E23B78" w:rsidRDefault="0063601E" w:rsidP="000E0C2F">
      <w:pPr>
        <w:pStyle w:val="ListParagraph"/>
        <w:tabs>
          <w:tab w:val="left" w:pos="2160"/>
        </w:tabs>
        <w:spacing w:after="288" w:line="270" w:lineRule="atLeast"/>
        <w:ind w:left="2160"/>
        <w:rPr>
          <w:rFonts w:ascii="Arial" w:eastAsia="Times New Roman" w:hAnsi="Arial" w:cs="Arial"/>
          <w:color w:val="000000" w:themeColor="text1"/>
        </w:rPr>
      </w:pPr>
      <w:r w:rsidRPr="00E23B78">
        <w:rPr>
          <w:rFonts w:ascii="Arial" w:eastAsia="Times New Roman" w:hAnsi="Arial" w:cs="Arial"/>
          <w:color w:val="000000" w:themeColor="text1"/>
        </w:rPr>
        <w:t>The QME shall schedule an appointment for the first comprehensive medical-legal</w:t>
      </w:r>
      <w:r w:rsidR="001431B7">
        <w:rPr>
          <w:rFonts w:ascii="Arial" w:eastAsia="Times New Roman" w:hAnsi="Arial" w:cs="Arial"/>
          <w:color w:val="000000" w:themeColor="text1"/>
        </w:rPr>
        <w:t xml:space="preserve"> evaluation</w:t>
      </w:r>
      <w:r w:rsidRPr="00E23B78">
        <w:rPr>
          <w:rFonts w:ascii="Arial" w:eastAsia="Times New Roman" w:hAnsi="Arial" w:cs="Arial"/>
          <w:color w:val="000000" w:themeColor="text1"/>
        </w:rPr>
        <w:t xml:space="preserve"> which shall be conducted at a medical office listed on the panel selection form or any office listed with the Medical Director provided there is agreement by the parties. Any subsequent evaluation </w:t>
      </w:r>
      <w:r w:rsidR="001431B7">
        <w:rPr>
          <w:rFonts w:ascii="Arial" w:eastAsia="Times New Roman" w:hAnsi="Arial" w:cs="Arial"/>
          <w:color w:val="000000" w:themeColor="text1"/>
        </w:rPr>
        <w:t>appointments</w:t>
      </w:r>
      <w:r w:rsidRPr="00E23B78">
        <w:rPr>
          <w:rFonts w:ascii="Arial" w:eastAsia="Times New Roman" w:hAnsi="Arial" w:cs="Arial"/>
          <w:color w:val="000000" w:themeColor="text1"/>
        </w:rPr>
        <w:t xml:space="preserve"> may be performed at another medical office of the selected QME if it is listed with the Medical Director and is within a reasonable geographic distance from the injured worker’s residence. </w:t>
      </w:r>
    </w:p>
    <w:p w14:paraId="39B0B2F7" w14:textId="77777777" w:rsidR="00E23B78" w:rsidRDefault="00E23B78" w:rsidP="000E0C2F">
      <w:pPr>
        <w:pStyle w:val="ListParagraph"/>
        <w:tabs>
          <w:tab w:val="left" w:pos="2160"/>
        </w:tabs>
        <w:spacing w:after="288" w:line="270" w:lineRule="atLeast"/>
        <w:ind w:left="2160"/>
        <w:rPr>
          <w:rFonts w:ascii="Arial" w:eastAsia="Times New Roman" w:hAnsi="Arial" w:cs="Arial"/>
          <w:color w:val="000000" w:themeColor="text1"/>
        </w:rPr>
      </w:pPr>
    </w:p>
    <w:p w14:paraId="4ACE743D" w14:textId="3686DBD2" w:rsidR="00E23B78" w:rsidRPr="00F20522" w:rsidRDefault="00F20522" w:rsidP="00F20522">
      <w:pPr>
        <w:tabs>
          <w:tab w:val="left" w:pos="2160"/>
        </w:tabs>
        <w:spacing w:after="288" w:line="270" w:lineRule="atLeast"/>
        <w:ind w:left="1440" w:hanging="1080"/>
        <w:rPr>
          <w:rFonts w:ascii="Arial" w:eastAsia="Times New Roman" w:hAnsi="Arial" w:cs="Arial"/>
          <w:color w:val="000000" w:themeColor="text1"/>
        </w:rPr>
      </w:pPr>
      <w:r>
        <w:rPr>
          <w:rFonts w:ascii="Arial" w:eastAsia="Times New Roman" w:hAnsi="Arial" w:cs="Arial"/>
          <w:color w:val="000000" w:themeColor="text1"/>
        </w:rPr>
        <w:t>(</w:t>
      </w:r>
      <w:r w:rsidR="00AA24C8">
        <w:rPr>
          <w:rFonts w:ascii="Arial" w:eastAsia="Times New Roman" w:hAnsi="Arial" w:cs="Arial"/>
          <w:color w:val="000000" w:themeColor="text1"/>
        </w:rPr>
        <w:t>g</w:t>
      </w:r>
      <w:r>
        <w:rPr>
          <w:rFonts w:ascii="Arial" w:eastAsia="Times New Roman" w:hAnsi="Arial" w:cs="Arial"/>
          <w:color w:val="000000" w:themeColor="text1"/>
        </w:rPr>
        <w:t>)</w:t>
      </w:r>
      <w:r>
        <w:rPr>
          <w:rFonts w:ascii="Arial" w:eastAsia="Times New Roman" w:hAnsi="Arial" w:cs="Arial"/>
          <w:color w:val="000000" w:themeColor="text1"/>
        </w:rPr>
        <w:tab/>
      </w:r>
      <w:r w:rsidR="00E23B78" w:rsidRPr="00F20522">
        <w:rPr>
          <w:rFonts w:ascii="Arial" w:eastAsia="Times New Roman" w:hAnsi="Arial" w:cs="Arial"/>
          <w:color w:val="000000" w:themeColor="text1"/>
        </w:rPr>
        <w:t xml:space="preserve">Upon the lifting or </w:t>
      </w:r>
      <w:r w:rsidR="00B5301F">
        <w:rPr>
          <w:rFonts w:ascii="Arial" w:eastAsia="Times New Roman" w:hAnsi="Arial" w:cs="Arial"/>
          <w:color w:val="000000" w:themeColor="text1"/>
        </w:rPr>
        <w:t>termination</w:t>
      </w:r>
      <w:r w:rsidR="00E23B78" w:rsidRPr="00F20522">
        <w:rPr>
          <w:rFonts w:ascii="Arial" w:eastAsia="Times New Roman" w:hAnsi="Arial" w:cs="Arial"/>
          <w:color w:val="000000" w:themeColor="text1"/>
        </w:rPr>
        <w:t xml:space="preserve"> </w:t>
      </w:r>
      <w:r w:rsidR="00F124DF">
        <w:rPr>
          <w:rFonts w:ascii="Arial" w:eastAsia="Times New Roman" w:hAnsi="Arial" w:cs="Arial"/>
          <w:color w:val="000000" w:themeColor="text1"/>
        </w:rPr>
        <w:t xml:space="preserve">of </w:t>
      </w:r>
      <w:r w:rsidR="00E23B78" w:rsidRPr="00F20522">
        <w:rPr>
          <w:rFonts w:ascii="Arial" w:eastAsia="Times New Roman" w:hAnsi="Arial" w:cs="Arial"/>
          <w:color w:val="000000" w:themeColor="text1"/>
        </w:rPr>
        <w:t>Governor Gavin Newsom’s Executive Order N-33-20, and</w:t>
      </w:r>
      <w:r w:rsidR="00677FFE" w:rsidRPr="00F20522">
        <w:rPr>
          <w:rFonts w:ascii="Arial" w:eastAsia="Times New Roman" w:hAnsi="Arial" w:cs="Arial"/>
          <w:color w:val="000000" w:themeColor="text1"/>
        </w:rPr>
        <w:t xml:space="preserve"> when there is no longer any statewide stay</w:t>
      </w:r>
      <w:r w:rsidR="001431B7" w:rsidRPr="00F20522">
        <w:rPr>
          <w:rFonts w:ascii="Arial" w:eastAsia="Times New Roman" w:hAnsi="Arial" w:cs="Arial"/>
          <w:color w:val="000000" w:themeColor="text1"/>
        </w:rPr>
        <w:t>-</w:t>
      </w:r>
      <w:r w:rsidR="00677FFE" w:rsidRPr="00F20522">
        <w:rPr>
          <w:rFonts w:ascii="Arial" w:eastAsia="Times New Roman" w:hAnsi="Arial" w:cs="Arial"/>
          <w:color w:val="000000" w:themeColor="text1"/>
        </w:rPr>
        <w:t>at</w:t>
      </w:r>
      <w:r w:rsidR="001431B7" w:rsidRPr="00F20522">
        <w:rPr>
          <w:rFonts w:ascii="Arial" w:eastAsia="Times New Roman" w:hAnsi="Arial" w:cs="Arial"/>
          <w:color w:val="000000" w:themeColor="text1"/>
        </w:rPr>
        <w:t>-</w:t>
      </w:r>
      <w:r w:rsidR="00677FFE" w:rsidRPr="00F20522">
        <w:rPr>
          <w:rFonts w:ascii="Arial" w:eastAsia="Times New Roman" w:hAnsi="Arial" w:cs="Arial"/>
          <w:color w:val="000000" w:themeColor="text1"/>
        </w:rPr>
        <w:t xml:space="preserve">home order, or any similar local applicable </w:t>
      </w:r>
      <w:r w:rsidR="00F124DF">
        <w:rPr>
          <w:rFonts w:ascii="Arial" w:eastAsia="Times New Roman" w:hAnsi="Arial" w:cs="Arial"/>
          <w:color w:val="000000" w:themeColor="text1"/>
        </w:rPr>
        <w:t xml:space="preserve">order </w:t>
      </w:r>
      <w:r w:rsidR="00677FFE" w:rsidRPr="00F20522">
        <w:rPr>
          <w:rFonts w:ascii="Arial" w:eastAsia="Times New Roman" w:hAnsi="Arial" w:cs="Arial"/>
          <w:color w:val="000000" w:themeColor="text1"/>
        </w:rPr>
        <w:t xml:space="preserve">in the jurisdiction, </w:t>
      </w:r>
      <w:r w:rsidR="00E23B78" w:rsidRPr="00F20522">
        <w:rPr>
          <w:rFonts w:ascii="Arial" w:eastAsia="Times New Roman" w:hAnsi="Arial" w:cs="Arial"/>
          <w:color w:val="000000" w:themeColor="text1"/>
        </w:rPr>
        <w:t xml:space="preserve">QME evaluations may take place under the </w:t>
      </w:r>
      <w:r w:rsidR="00B5301F">
        <w:rPr>
          <w:rFonts w:ascii="Arial" w:eastAsia="Times New Roman" w:hAnsi="Arial" w:cs="Arial"/>
          <w:color w:val="000000" w:themeColor="text1"/>
        </w:rPr>
        <w:t>provisions</w:t>
      </w:r>
      <w:r w:rsidR="00E23B78" w:rsidRPr="00F20522">
        <w:rPr>
          <w:rFonts w:ascii="Arial" w:eastAsia="Times New Roman" w:hAnsi="Arial" w:cs="Arial"/>
          <w:color w:val="000000" w:themeColor="text1"/>
        </w:rPr>
        <w:t xml:space="preserve"> of the non-emergency QME regulations and the parties </w:t>
      </w:r>
      <w:r w:rsidR="00F124DF">
        <w:rPr>
          <w:rFonts w:ascii="Arial" w:eastAsia="Times New Roman" w:hAnsi="Arial" w:cs="Arial"/>
          <w:color w:val="000000" w:themeColor="text1"/>
        </w:rPr>
        <w:t>may</w:t>
      </w:r>
      <w:r w:rsidR="00F124DF" w:rsidRPr="00F20522">
        <w:rPr>
          <w:rFonts w:ascii="Arial" w:eastAsia="Times New Roman" w:hAnsi="Arial" w:cs="Arial"/>
          <w:color w:val="000000" w:themeColor="text1"/>
        </w:rPr>
        <w:t xml:space="preserve"> </w:t>
      </w:r>
      <w:r w:rsidR="00E23B78" w:rsidRPr="00F20522">
        <w:rPr>
          <w:rFonts w:ascii="Arial" w:eastAsia="Times New Roman" w:hAnsi="Arial" w:cs="Arial"/>
          <w:color w:val="000000" w:themeColor="text1"/>
        </w:rPr>
        <w:t>comply with all timeframes, billing and reporting requirements under the non-emergency regulations.</w:t>
      </w:r>
    </w:p>
    <w:p w14:paraId="59BD3B3D" w14:textId="6592A490" w:rsidR="00E23B78" w:rsidRPr="00F20522" w:rsidRDefault="00F20522" w:rsidP="00F20522">
      <w:pPr>
        <w:tabs>
          <w:tab w:val="left" w:pos="2070"/>
        </w:tabs>
        <w:spacing w:after="288" w:line="270" w:lineRule="atLeast"/>
        <w:ind w:left="1440" w:hanging="1080"/>
        <w:rPr>
          <w:color w:val="000000" w:themeColor="text1"/>
        </w:rPr>
      </w:pPr>
      <w:r>
        <w:rPr>
          <w:rFonts w:ascii="Arial" w:hAnsi="Arial" w:cs="Arial"/>
        </w:rPr>
        <w:t>(</w:t>
      </w:r>
      <w:r w:rsidR="00AA24C8">
        <w:rPr>
          <w:rFonts w:ascii="Arial" w:hAnsi="Arial" w:cs="Arial"/>
        </w:rPr>
        <w:t>h</w:t>
      </w:r>
      <w:r>
        <w:rPr>
          <w:rFonts w:ascii="Arial" w:hAnsi="Arial" w:cs="Arial"/>
        </w:rPr>
        <w:t>)</w:t>
      </w:r>
      <w:r>
        <w:rPr>
          <w:rFonts w:ascii="Arial" w:hAnsi="Arial" w:cs="Arial"/>
        </w:rPr>
        <w:tab/>
      </w:r>
      <w:r w:rsidR="00E23B78" w:rsidRPr="00F20522">
        <w:rPr>
          <w:rFonts w:ascii="Arial" w:hAnsi="Arial" w:cs="Arial"/>
        </w:rPr>
        <w:t xml:space="preserve">Nothing in this emergency regulation is intended to encourage or </w:t>
      </w:r>
      <w:r w:rsidR="00677FFE" w:rsidRPr="00F20522">
        <w:rPr>
          <w:rFonts w:ascii="Arial" w:hAnsi="Arial" w:cs="Arial"/>
        </w:rPr>
        <w:t xml:space="preserve">to </w:t>
      </w:r>
      <w:r w:rsidR="00E23B78" w:rsidRPr="00F20522">
        <w:rPr>
          <w:rFonts w:ascii="Arial" w:hAnsi="Arial" w:cs="Arial"/>
        </w:rPr>
        <w:t xml:space="preserve">authorize any individual, group, or business to violate any provision of Governor Gavin Newsom’s Executive Order N-33-20 and </w:t>
      </w:r>
      <w:r w:rsidR="00B5301F">
        <w:rPr>
          <w:rFonts w:ascii="Arial" w:hAnsi="Arial" w:cs="Arial"/>
        </w:rPr>
        <w:t xml:space="preserve">related </w:t>
      </w:r>
      <w:r w:rsidR="00906299" w:rsidRPr="00F20522">
        <w:rPr>
          <w:rFonts w:ascii="Arial" w:hAnsi="Arial" w:cs="Arial"/>
        </w:rPr>
        <w:t>stay</w:t>
      </w:r>
      <w:r w:rsidR="001431B7" w:rsidRPr="00F20522">
        <w:rPr>
          <w:rFonts w:ascii="Arial" w:hAnsi="Arial" w:cs="Arial"/>
        </w:rPr>
        <w:t>-</w:t>
      </w:r>
      <w:r w:rsidR="00906299" w:rsidRPr="00F20522">
        <w:rPr>
          <w:rFonts w:ascii="Arial" w:hAnsi="Arial" w:cs="Arial"/>
        </w:rPr>
        <w:t>at</w:t>
      </w:r>
      <w:r w:rsidR="001431B7" w:rsidRPr="00F20522">
        <w:rPr>
          <w:rFonts w:ascii="Arial" w:hAnsi="Arial" w:cs="Arial"/>
        </w:rPr>
        <w:t>-</w:t>
      </w:r>
      <w:r w:rsidR="00E23B78" w:rsidRPr="00F20522">
        <w:rPr>
          <w:rFonts w:ascii="Arial" w:hAnsi="Arial" w:cs="Arial"/>
        </w:rPr>
        <w:t>home and social distancing protocols</w:t>
      </w:r>
      <w:r w:rsidR="00677FFE" w:rsidRPr="00F20522">
        <w:rPr>
          <w:rFonts w:ascii="Arial" w:hAnsi="Arial" w:cs="Arial"/>
        </w:rPr>
        <w:t>, or any similar such orders applicable in local jurisdictions</w:t>
      </w:r>
      <w:r w:rsidR="00E23B78" w:rsidRPr="00F20522">
        <w:rPr>
          <w:rFonts w:ascii="Arial" w:hAnsi="Arial" w:cs="Arial"/>
        </w:rPr>
        <w:t>..</w:t>
      </w:r>
    </w:p>
    <w:sectPr w:rsidR="00E23B78" w:rsidRPr="00F2052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DF0901" w14:textId="77777777" w:rsidR="00EF0EC3" w:rsidRDefault="00EF0EC3" w:rsidP="00D42BC0">
      <w:r>
        <w:separator/>
      </w:r>
    </w:p>
  </w:endnote>
  <w:endnote w:type="continuationSeparator" w:id="0">
    <w:p w14:paraId="185A670B" w14:textId="77777777" w:rsidR="00EF0EC3" w:rsidRDefault="00EF0EC3" w:rsidP="00D42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9620049"/>
      <w:docPartObj>
        <w:docPartGallery w:val="Page Numbers (Bottom of Page)"/>
        <w:docPartUnique/>
      </w:docPartObj>
    </w:sdtPr>
    <w:sdtEndPr>
      <w:rPr>
        <w:noProof/>
      </w:rPr>
    </w:sdtEndPr>
    <w:sdtContent>
      <w:p w14:paraId="685DDD6F" w14:textId="6434D67E" w:rsidR="00D42BC0" w:rsidRDefault="00D42BC0" w:rsidP="000E0C2F">
        <w:pPr>
          <w:pStyle w:val="Footer"/>
          <w:ind w:left="5400" w:firstLine="3960"/>
        </w:pPr>
        <w:r>
          <w:fldChar w:fldCharType="begin"/>
        </w:r>
        <w:r>
          <w:instrText xml:space="preserve"> PAGE   \* MERGEFORMAT </w:instrText>
        </w:r>
        <w:r>
          <w:fldChar w:fldCharType="separate"/>
        </w:r>
        <w:r w:rsidR="00EA296B">
          <w:rPr>
            <w:noProof/>
          </w:rPr>
          <w:t>4</w:t>
        </w:r>
        <w:r>
          <w:rPr>
            <w:noProof/>
          </w:rPr>
          <w:fldChar w:fldCharType="end"/>
        </w:r>
      </w:p>
    </w:sdtContent>
  </w:sdt>
  <w:p w14:paraId="7404DE69" w14:textId="77777777" w:rsidR="00D42BC0" w:rsidRDefault="00D42B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1294AF" w14:textId="77777777" w:rsidR="00EF0EC3" w:rsidRDefault="00EF0EC3" w:rsidP="00D42BC0">
      <w:r>
        <w:separator/>
      </w:r>
    </w:p>
  </w:footnote>
  <w:footnote w:type="continuationSeparator" w:id="0">
    <w:p w14:paraId="6F3DF143" w14:textId="77777777" w:rsidR="00EF0EC3" w:rsidRDefault="00EF0EC3" w:rsidP="00D42B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33D27"/>
    <w:multiLevelType w:val="hybridMultilevel"/>
    <w:tmpl w:val="E2381B14"/>
    <w:lvl w:ilvl="0" w:tplc="7332AAB2">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27620A8F"/>
    <w:multiLevelType w:val="hybridMultilevel"/>
    <w:tmpl w:val="86F03A08"/>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3BC64BFE"/>
    <w:multiLevelType w:val="hybridMultilevel"/>
    <w:tmpl w:val="FED8702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9A2377"/>
    <w:multiLevelType w:val="hybridMultilevel"/>
    <w:tmpl w:val="DCDEBD9C"/>
    <w:lvl w:ilvl="0" w:tplc="A95A928E">
      <w:start w:val="1"/>
      <w:numFmt w:val="upperLetter"/>
      <w:lvlText w:val="(%1)"/>
      <w:lvlJc w:val="left"/>
      <w:pPr>
        <w:ind w:left="2880" w:hanging="720"/>
      </w:pPr>
      <w:rPr>
        <w:rFonts w:eastAsiaTheme="minorHAnsi" w:hint="default"/>
        <w:color w:val="auto"/>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55E61925"/>
    <w:multiLevelType w:val="hybridMultilevel"/>
    <w:tmpl w:val="D93C7660"/>
    <w:lvl w:ilvl="0" w:tplc="16A045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7E830C6"/>
    <w:multiLevelType w:val="hybridMultilevel"/>
    <w:tmpl w:val="42A03F96"/>
    <w:lvl w:ilvl="0" w:tplc="231C4E3E">
      <w:start w:val="1"/>
      <w:numFmt w:val="decimal"/>
      <w:lvlText w:val="(%1)"/>
      <w:lvlJc w:val="left"/>
      <w:pPr>
        <w:ind w:left="2160" w:hanging="54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15:restartNumberingAfterBreak="0">
    <w:nsid w:val="6DFB149A"/>
    <w:multiLevelType w:val="hybridMultilevel"/>
    <w:tmpl w:val="03FC56AE"/>
    <w:lvl w:ilvl="0" w:tplc="231C4E3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F417336"/>
    <w:multiLevelType w:val="hybridMultilevel"/>
    <w:tmpl w:val="71B22FB2"/>
    <w:lvl w:ilvl="0" w:tplc="0BB6B970">
      <w:start w:val="2"/>
      <w:numFmt w:val="lowerLetter"/>
      <w:lvlText w:val="(%1)"/>
      <w:lvlJc w:val="left"/>
      <w:pPr>
        <w:ind w:left="144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7262D44"/>
    <w:multiLevelType w:val="hybridMultilevel"/>
    <w:tmpl w:val="EC169310"/>
    <w:lvl w:ilvl="0" w:tplc="02CE0FA0">
      <w:start w:val="1"/>
      <w:numFmt w:val="decimal"/>
      <w:lvlText w:val="(%1)"/>
      <w:lvlJc w:val="left"/>
      <w:pPr>
        <w:ind w:left="2160" w:hanging="1080"/>
      </w:pPr>
      <w:rPr>
        <w:rFonts w:eastAsia="Times New Roman"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CA34D6E"/>
    <w:multiLevelType w:val="hybridMultilevel"/>
    <w:tmpl w:val="78F84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4F6B8F"/>
    <w:multiLevelType w:val="hybridMultilevel"/>
    <w:tmpl w:val="B74441B4"/>
    <w:lvl w:ilvl="0" w:tplc="BDD048F0">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2"/>
  </w:num>
  <w:num w:numId="2">
    <w:abstractNumId w:val="1"/>
  </w:num>
  <w:num w:numId="3">
    <w:abstractNumId w:val="9"/>
  </w:num>
  <w:num w:numId="4">
    <w:abstractNumId w:val="8"/>
  </w:num>
  <w:num w:numId="5">
    <w:abstractNumId w:val="3"/>
  </w:num>
  <w:num w:numId="6">
    <w:abstractNumId w:val="10"/>
  </w:num>
  <w:num w:numId="7">
    <w:abstractNumId w:val="0"/>
  </w:num>
  <w:num w:numId="8">
    <w:abstractNumId w:val="7"/>
  </w:num>
  <w:num w:numId="9">
    <w:abstractNumId w:val="5"/>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CD294D2-CD07-41E0-8A59-6FA198FA6B16}"/>
    <w:docVar w:name="dgnword-eventsink" w:val="300413840"/>
  </w:docVars>
  <w:rsids>
    <w:rsidRoot w:val="00DF1ABF"/>
    <w:rsid w:val="00000968"/>
    <w:rsid w:val="00025FF3"/>
    <w:rsid w:val="000457E2"/>
    <w:rsid w:val="000B1FDE"/>
    <w:rsid w:val="000B20F7"/>
    <w:rsid w:val="000B501B"/>
    <w:rsid w:val="000D555A"/>
    <w:rsid w:val="000E0C2F"/>
    <w:rsid w:val="00103173"/>
    <w:rsid w:val="00120532"/>
    <w:rsid w:val="001431B7"/>
    <w:rsid w:val="00153A15"/>
    <w:rsid w:val="00182567"/>
    <w:rsid w:val="001A31EE"/>
    <w:rsid w:val="001F7A85"/>
    <w:rsid w:val="002204B2"/>
    <w:rsid w:val="002537E0"/>
    <w:rsid w:val="00277131"/>
    <w:rsid w:val="00295531"/>
    <w:rsid w:val="002C7ABD"/>
    <w:rsid w:val="0036039A"/>
    <w:rsid w:val="003725D9"/>
    <w:rsid w:val="004118E9"/>
    <w:rsid w:val="00433A0B"/>
    <w:rsid w:val="0045243C"/>
    <w:rsid w:val="00460BC0"/>
    <w:rsid w:val="0048603D"/>
    <w:rsid w:val="004C493B"/>
    <w:rsid w:val="004D4299"/>
    <w:rsid w:val="005214B2"/>
    <w:rsid w:val="00553BCC"/>
    <w:rsid w:val="00560181"/>
    <w:rsid w:val="00590D36"/>
    <w:rsid w:val="005C4382"/>
    <w:rsid w:val="005E4CAA"/>
    <w:rsid w:val="0063601E"/>
    <w:rsid w:val="006632DD"/>
    <w:rsid w:val="0067568F"/>
    <w:rsid w:val="00677FFE"/>
    <w:rsid w:val="006C253E"/>
    <w:rsid w:val="00725944"/>
    <w:rsid w:val="007646E1"/>
    <w:rsid w:val="007A4EAF"/>
    <w:rsid w:val="008233C1"/>
    <w:rsid w:val="0086764D"/>
    <w:rsid w:val="008B6525"/>
    <w:rsid w:val="0090236F"/>
    <w:rsid w:val="00906299"/>
    <w:rsid w:val="0092254F"/>
    <w:rsid w:val="00926680"/>
    <w:rsid w:val="00960585"/>
    <w:rsid w:val="00A01CAC"/>
    <w:rsid w:val="00A03B57"/>
    <w:rsid w:val="00A40951"/>
    <w:rsid w:val="00A638C7"/>
    <w:rsid w:val="00A97BBB"/>
    <w:rsid w:val="00AA24C8"/>
    <w:rsid w:val="00AB4BF3"/>
    <w:rsid w:val="00AC0043"/>
    <w:rsid w:val="00B21C3F"/>
    <w:rsid w:val="00B24233"/>
    <w:rsid w:val="00B258D2"/>
    <w:rsid w:val="00B35272"/>
    <w:rsid w:val="00B5301F"/>
    <w:rsid w:val="00B54743"/>
    <w:rsid w:val="00B6064A"/>
    <w:rsid w:val="00BB219A"/>
    <w:rsid w:val="00BD5F3E"/>
    <w:rsid w:val="00C13E97"/>
    <w:rsid w:val="00C54AC2"/>
    <w:rsid w:val="00C5740F"/>
    <w:rsid w:val="00C604E2"/>
    <w:rsid w:val="00C82A12"/>
    <w:rsid w:val="00C96E1C"/>
    <w:rsid w:val="00CA20CA"/>
    <w:rsid w:val="00CB7032"/>
    <w:rsid w:val="00D333AA"/>
    <w:rsid w:val="00D42BC0"/>
    <w:rsid w:val="00D631F8"/>
    <w:rsid w:val="00DD22AD"/>
    <w:rsid w:val="00DD7BDA"/>
    <w:rsid w:val="00DF1ABF"/>
    <w:rsid w:val="00E10D11"/>
    <w:rsid w:val="00E23B78"/>
    <w:rsid w:val="00E86424"/>
    <w:rsid w:val="00EA296B"/>
    <w:rsid w:val="00EA4D0B"/>
    <w:rsid w:val="00EB2CFF"/>
    <w:rsid w:val="00EF0EC3"/>
    <w:rsid w:val="00F03340"/>
    <w:rsid w:val="00F124DF"/>
    <w:rsid w:val="00F20522"/>
    <w:rsid w:val="00F42F03"/>
    <w:rsid w:val="00F6615B"/>
    <w:rsid w:val="00F82F64"/>
    <w:rsid w:val="00F84000"/>
    <w:rsid w:val="00FC0029"/>
    <w:rsid w:val="00FD6ECD"/>
    <w:rsid w:val="00FF3FBC"/>
    <w:rsid w:val="00FF74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56533"/>
  <w15:chartTrackingRefBased/>
  <w15:docId w15:val="{0E64A2B8-0C5E-457E-A752-87A397D55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ABF"/>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ABF"/>
    <w:pPr>
      <w:ind w:left="720"/>
      <w:contextualSpacing/>
    </w:pPr>
  </w:style>
  <w:style w:type="paragraph" w:customStyle="1" w:styleId="Default">
    <w:name w:val="Default"/>
    <w:rsid w:val="00DF1ABF"/>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0B1FDE"/>
    <w:rPr>
      <w:sz w:val="16"/>
      <w:szCs w:val="16"/>
    </w:rPr>
  </w:style>
  <w:style w:type="paragraph" w:styleId="CommentText">
    <w:name w:val="annotation text"/>
    <w:basedOn w:val="Normal"/>
    <w:link w:val="CommentTextChar"/>
    <w:uiPriority w:val="99"/>
    <w:semiHidden/>
    <w:unhideWhenUsed/>
    <w:rsid w:val="000B1FDE"/>
    <w:pPr>
      <w:spacing w:after="20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0B1FDE"/>
    <w:rPr>
      <w:sz w:val="20"/>
      <w:szCs w:val="20"/>
    </w:rPr>
  </w:style>
  <w:style w:type="paragraph" w:styleId="BalloonText">
    <w:name w:val="Balloon Text"/>
    <w:basedOn w:val="Normal"/>
    <w:link w:val="BalloonTextChar"/>
    <w:uiPriority w:val="99"/>
    <w:semiHidden/>
    <w:unhideWhenUsed/>
    <w:rsid w:val="000B1F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FD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C493B"/>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4C493B"/>
    <w:rPr>
      <w:rFonts w:ascii="Times New Roman" w:hAnsi="Times New Roman" w:cs="Times New Roman"/>
      <w:b/>
      <w:bCs/>
      <w:sz w:val="20"/>
      <w:szCs w:val="20"/>
    </w:rPr>
  </w:style>
  <w:style w:type="paragraph" w:styleId="Header">
    <w:name w:val="header"/>
    <w:basedOn w:val="Normal"/>
    <w:link w:val="HeaderChar"/>
    <w:uiPriority w:val="99"/>
    <w:unhideWhenUsed/>
    <w:rsid w:val="00D42BC0"/>
    <w:pPr>
      <w:tabs>
        <w:tab w:val="center" w:pos="4680"/>
        <w:tab w:val="right" w:pos="9360"/>
      </w:tabs>
    </w:pPr>
  </w:style>
  <w:style w:type="character" w:customStyle="1" w:styleId="HeaderChar">
    <w:name w:val="Header Char"/>
    <w:basedOn w:val="DefaultParagraphFont"/>
    <w:link w:val="Header"/>
    <w:uiPriority w:val="99"/>
    <w:rsid w:val="00D42BC0"/>
    <w:rPr>
      <w:rFonts w:ascii="Times New Roman" w:hAnsi="Times New Roman" w:cs="Times New Roman"/>
      <w:sz w:val="24"/>
      <w:szCs w:val="24"/>
    </w:rPr>
  </w:style>
  <w:style w:type="paragraph" w:styleId="Footer">
    <w:name w:val="footer"/>
    <w:basedOn w:val="Normal"/>
    <w:link w:val="FooterChar"/>
    <w:uiPriority w:val="99"/>
    <w:unhideWhenUsed/>
    <w:rsid w:val="00D42BC0"/>
    <w:pPr>
      <w:tabs>
        <w:tab w:val="center" w:pos="4680"/>
        <w:tab w:val="right" w:pos="9360"/>
      </w:tabs>
    </w:pPr>
  </w:style>
  <w:style w:type="character" w:customStyle="1" w:styleId="FooterChar">
    <w:name w:val="Footer Char"/>
    <w:basedOn w:val="DefaultParagraphFont"/>
    <w:link w:val="Footer"/>
    <w:uiPriority w:val="99"/>
    <w:rsid w:val="00D42BC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0782B6DAD15C47853D8396FE8F60D3" ma:contentTypeVersion="9" ma:contentTypeDescription="Create a new document." ma:contentTypeScope="" ma:versionID="053e489e040ea3598aa91dfb2e3d3f0f">
  <xsd:schema xmlns:xsd="http://www.w3.org/2001/XMLSchema" xmlns:xs="http://www.w3.org/2001/XMLSchema" xmlns:p="http://schemas.microsoft.com/office/2006/metadata/properties" xmlns:ns3="08b5a114-ccd1-47d7-95c2-8d288d80d9d6" xmlns:ns4="02a9b15c-e450-4307-b02c-75642b88da35" targetNamespace="http://schemas.microsoft.com/office/2006/metadata/properties" ma:root="true" ma:fieldsID="efdaa2c548dd1da483b90876cd54742f" ns3:_="" ns4:_="">
    <xsd:import namespace="08b5a114-ccd1-47d7-95c2-8d288d80d9d6"/>
    <xsd:import namespace="02a9b15c-e450-4307-b02c-75642b88da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5a114-ccd1-47d7-95c2-8d288d80d9d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a9b15c-e450-4307-b02c-75642b88da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200C14-36E6-4F1C-BAD2-341AD6601C61}">
  <ds:schemaRefs>
    <ds:schemaRef ds:uri="http://schemas.microsoft.com/sharepoint/v3/contenttype/forms"/>
  </ds:schemaRefs>
</ds:datastoreItem>
</file>

<file path=customXml/itemProps2.xml><?xml version="1.0" encoding="utf-8"?>
<ds:datastoreItem xmlns:ds="http://schemas.openxmlformats.org/officeDocument/2006/customXml" ds:itemID="{AF16E2AE-4156-45AE-B53E-014A3421F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5a114-ccd1-47d7-95c2-8d288d80d9d6"/>
    <ds:schemaRef ds:uri="02a9b15c-e450-4307-b02c-75642b88d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6A9F5C-6691-4930-AFBE-58925ED0597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1633</Words>
  <Characters>9313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10925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Nicole@DIR</dc:creator>
  <cp:keywords/>
  <dc:description/>
  <cp:lastModifiedBy>Ellen Langille</cp:lastModifiedBy>
  <cp:revision>2</cp:revision>
  <cp:lastPrinted>2020-04-02T20:05:00Z</cp:lastPrinted>
  <dcterms:created xsi:type="dcterms:W3CDTF">2020-04-25T02:27:00Z</dcterms:created>
  <dcterms:modified xsi:type="dcterms:W3CDTF">2020-04-25T02:27:00Z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0x0101000B0782B6DAD15C47853D8396FE8F60D3</vt:lpwstr>
  </property>
</Properties>
</file>